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B82D" w14:textId="438486D1" w:rsidR="00304E3E" w:rsidRPr="001E7C8F" w:rsidRDefault="003151BB" w:rsidP="00270A1E">
      <w:pPr>
        <w:ind w:hanging="283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Proposed  access lane to </w:t>
      </w:r>
      <w:r w:rsidR="00F719F9">
        <w:rPr>
          <w:rFonts w:ascii="Arial" w:hAnsi="Arial"/>
          <w:b/>
          <w:sz w:val="24"/>
          <w:szCs w:val="24"/>
        </w:rPr>
        <w:t>Spittens Farm, Roundhill Road, Accrington BB5 3SW</w:t>
      </w:r>
      <w:r w:rsidR="000E1A98">
        <w:rPr>
          <w:rFonts w:ascii="Arial" w:hAnsi="Arial"/>
          <w:b/>
          <w:sz w:val="24"/>
          <w:szCs w:val="24"/>
        </w:rPr>
        <w:t xml:space="preserve"> </w:t>
      </w:r>
    </w:p>
    <w:p w14:paraId="20D09FAF" w14:textId="7E8AB7D7" w:rsidR="00270A1E" w:rsidRPr="00270A1E" w:rsidRDefault="00270A1E" w:rsidP="00270A1E">
      <w:pPr>
        <w:ind w:hanging="283"/>
        <w:jc w:val="center"/>
        <w:rPr>
          <w:rFonts w:ascii="Arial" w:hAnsi="Arial"/>
        </w:rPr>
      </w:pPr>
    </w:p>
    <w:p w14:paraId="2ABBA6F2" w14:textId="5B9B6FE2" w:rsidR="00270A1E" w:rsidRPr="001E7C8F" w:rsidRDefault="00270A1E" w:rsidP="00270A1E">
      <w:pPr>
        <w:ind w:hanging="283"/>
        <w:jc w:val="center"/>
        <w:rPr>
          <w:rFonts w:ascii="Arial" w:hAnsi="Arial"/>
          <w:b/>
          <w:color w:val="FF0000"/>
          <w:sz w:val="24"/>
          <w:szCs w:val="24"/>
        </w:rPr>
      </w:pPr>
      <w:r w:rsidRPr="001E7C8F">
        <w:rPr>
          <w:rFonts w:ascii="Arial" w:hAnsi="Arial"/>
          <w:b/>
          <w:color w:val="FF0000"/>
          <w:sz w:val="24"/>
          <w:szCs w:val="24"/>
        </w:rPr>
        <w:t>Planning Statement</w:t>
      </w:r>
    </w:p>
    <w:p w14:paraId="752005B1" w14:textId="68875A46" w:rsidR="00270A1E" w:rsidRDefault="00270A1E" w:rsidP="00C75E64">
      <w:pPr>
        <w:ind w:hanging="283"/>
        <w:rPr>
          <w:rFonts w:ascii="Arial" w:hAnsi="Arial"/>
          <w:sz w:val="24"/>
          <w:szCs w:val="24"/>
        </w:rPr>
      </w:pPr>
    </w:p>
    <w:p w14:paraId="2B9F1CC0" w14:textId="121ECC1E" w:rsidR="00270A1E" w:rsidRDefault="00270A1E" w:rsidP="00C75E64">
      <w:pPr>
        <w:ind w:hanging="283"/>
        <w:rPr>
          <w:rFonts w:ascii="Arial" w:hAnsi="Arial"/>
          <w:sz w:val="24"/>
          <w:szCs w:val="24"/>
        </w:rPr>
      </w:pPr>
    </w:p>
    <w:p w14:paraId="4289509F" w14:textId="6142E009" w:rsidR="00270A1E" w:rsidRDefault="00270A1E" w:rsidP="00C75E64">
      <w:pPr>
        <w:ind w:hanging="283"/>
        <w:rPr>
          <w:rFonts w:ascii="Arial" w:hAnsi="Arial"/>
          <w:sz w:val="24"/>
          <w:szCs w:val="24"/>
        </w:rPr>
      </w:pPr>
    </w:p>
    <w:p w14:paraId="5D99950E" w14:textId="67F8277B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360F7B04" w14:textId="0AEF206C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12BB8C27" w14:textId="3FFC817F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5500A9FF" w14:textId="158672B5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61EB3FC7" w14:textId="18FA8DB6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5F1B3F7B" w14:textId="335F2CA6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6540A369" w14:textId="7BC9DB71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09F47843" w14:textId="02B65FB6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29827387" w14:textId="0C96D48B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1164A274" w14:textId="77777777" w:rsidR="004D4848" w:rsidRDefault="004D4848" w:rsidP="00C75E64">
      <w:pPr>
        <w:ind w:hanging="283"/>
        <w:rPr>
          <w:rFonts w:ascii="Arial" w:hAnsi="Arial"/>
          <w:sz w:val="24"/>
          <w:szCs w:val="24"/>
        </w:rPr>
      </w:pPr>
    </w:p>
    <w:p w14:paraId="38605EF8" w14:textId="6428298E" w:rsidR="00270A1E" w:rsidRDefault="00270A1E" w:rsidP="00C75E64">
      <w:pPr>
        <w:ind w:hanging="283"/>
        <w:rPr>
          <w:rFonts w:ascii="Arial" w:hAnsi="Arial"/>
          <w:sz w:val="24"/>
          <w:szCs w:val="24"/>
        </w:rPr>
      </w:pPr>
    </w:p>
    <w:p w14:paraId="73CF2824" w14:textId="6D43DB12" w:rsidR="00270A1E" w:rsidRDefault="00270A1E" w:rsidP="00C75E64">
      <w:pPr>
        <w:ind w:hanging="283"/>
        <w:rPr>
          <w:rFonts w:ascii="Arial" w:hAnsi="Arial"/>
          <w:sz w:val="24"/>
          <w:szCs w:val="24"/>
        </w:rPr>
      </w:pPr>
    </w:p>
    <w:p w14:paraId="7D231387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Tahoma" w:eastAsia="Lucida Sans Unicode" w:hAnsi="Tahoma" w:cs="Tahoma"/>
          <w:iCs w:val="0"/>
          <w:color w:val="000000"/>
          <w:sz w:val="24"/>
          <w:szCs w:val="24"/>
        </w:rPr>
      </w:pPr>
    </w:p>
    <w:p w14:paraId="45B110A3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Tahoma" w:eastAsia="Lucida Sans Unicode" w:hAnsi="Tahoma" w:cs="Tahoma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475"/>
      </w:tblGrid>
      <w:tr w:rsidR="00270A1E" w:rsidRPr="00270A1E" w14:paraId="3C437F2E" w14:textId="77777777" w:rsidTr="001A7757">
        <w:trPr>
          <w:tblHeader/>
          <w:jc w:val="center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D81AF3" w14:textId="77777777" w:rsidR="00270A1E" w:rsidRPr="00270A1E" w:rsidRDefault="00270A1E" w:rsidP="00270A1E">
            <w:pPr>
              <w:widowControl w:val="0"/>
              <w:suppressLineNumbers/>
              <w:shd w:val="clear" w:color="auto" w:fill="FF0000"/>
              <w:suppressAutoHyphens/>
              <w:snapToGrid w:val="0"/>
              <w:spacing w:before="0" w:after="0" w:line="240" w:lineRule="auto"/>
              <w:ind w:left="0" w:firstLine="0"/>
              <w:jc w:val="right"/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</w:pPr>
            <w:r w:rsidRPr="00270A1E"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  <w:t>H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BF08" w14:textId="77777777" w:rsidR="00270A1E" w:rsidRPr="00270A1E" w:rsidRDefault="00270A1E" w:rsidP="00270A1E">
            <w:pPr>
              <w:widowControl w:val="0"/>
              <w:suppressLineNumbers/>
              <w:shd w:val="clear" w:color="auto" w:fill="FFFF00"/>
              <w:suppressAutoHyphens/>
              <w:snapToGrid w:val="0"/>
              <w:spacing w:before="0" w:after="0" w:line="240" w:lineRule="auto"/>
              <w:ind w:left="0" w:firstLine="0"/>
              <w:jc w:val="right"/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</w:pPr>
            <w:r w:rsidRPr="00270A1E"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  <w:t>P</w:t>
            </w:r>
          </w:p>
        </w:tc>
      </w:tr>
      <w:tr w:rsidR="00270A1E" w:rsidRPr="00270A1E" w14:paraId="68A12C19" w14:textId="77777777" w:rsidTr="001A7757">
        <w:trPr>
          <w:jc w:val="center"/>
        </w:trPr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</w:tcPr>
          <w:p w14:paraId="0472E96C" w14:textId="77777777" w:rsidR="00270A1E" w:rsidRPr="00270A1E" w:rsidRDefault="00270A1E" w:rsidP="00270A1E">
            <w:pPr>
              <w:widowControl w:val="0"/>
              <w:suppressLineNumbers/>
              <w:shd w:val="clear" w:color="auto" w:fill="0000FF"/>
              <w:suppressAutoHyphens/>
              <w:snapToGrid w:val="0"/>
              <w:spacing w:before="0" w:after="0" w:line="240" w:lineRule="auto"/>
              <w:ind w:left="0" w:firstLine="0"/>
              <w:jc w:val="right"/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</w:pPr>
            <w:r w:rsidRPr="00270A1E"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  <w:t>D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8251" w14:textId="77777777" w:rsidR="00270A1E" w:rsidRPr="00270A1E" w:rsidRDefault="00270A1E" w:rsidP="00270A1E">
            <w:pPr>
              <w:widowControl w:val="0"/>
              <w:suppressLineNumbers/>
              <w:shd w:val="clear" w:color="auto" w:fill="00FF00"/>
              <w:suppressAutoHyphens/>
              <w:snapToGrid w:val="0"/>
              <w:spacing w:before="0" w:after="0" w:line="240" w:lineRule="auto"/>
              <w:ind w:left="0" w:firstLine="0"/>
              <w:jc w:val="right"/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</w:pPr>
            <w:r w:rsidRPr="00270A1E">
              <w:rPr>
                <w:rFonts w:ascii="Times New Roman" w:eastAsia="Lucida Sans Unicode" w:hAnsi="Times New Roman" w:cs="Tahoma"/>
                <w:b/>
                <w:bCs/>
                <w:iCs w:val="0"/>
                <w:sz w:val="24"/>
                <w:szCs w:val="24"/>
              </w:rPr>
              <w:t>A</w:t>
            </w:r>
          </w:p>
        </w:tc>
      </w:tr>
    </w:tbl>
    <w:p w14:paraId="0A25B0A6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Tahoma" w:eastAsia="Lucida Sans Unicode" w:hAnsi="Tahoma" w:cs="Tahoma"/>
          <w:iCs w:val="0"/>
          <w:color w:val="000000"/>
          <w:sz w:val="24"/>
          <w:szCs w:val="24"/>
        </w:rPr>
      </w:pPr>
    </w:p>
    <w:p w14:paraId="62F6838E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Tahoma" w:eastAsia="Lucida Sans Unicode" w:hAnsi="Tahoma" w:cs="Tahoma"/>
          <w:iCs w:val="0"/>
          <w:color w:val="000000"/>
          <w:sz w:val="24"/>
          <w:szCs w:val="24"/>
        </w:rPr>
      </w:pPr>
    </w:p>
    <w:p w14:paraId="2621C1B8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Tahoma" w:eastAsia="Lucida Sans Unicode" w:hAnsi="Tahoma" w:cs="Tahoma"/>
          <w:iCs w:val="0"/>
          <w:color w:val="000000"/>
          <w:sz w:val="24"/>
          <w:szCs w:val="24"/>
        </w:rPr>
      </w:pPr>
    </w:p>
    <w:p w14:paraId="78116F3B" w14:textId="5D13FFA7" w:rsidR="00270A1E" w:rsidRPr="00270A1E" w:rsidRDefault="000E1A98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Arial" w:eastAsia="Lucida Sans Unicode" w:hAnsi="Arial"/>
          <w:b/>
          <w:iCs w:val="0"/>
          <w:color w:val="000000"/>
          <w:sz w:val="24"/>
          <w:szCs w:val="24"/>
        </w:rPr>
      </w:pPr>
      <w:r>
        <w:rPr>
          <w:rFonts w:ascii="Arial" w:eastAsia="Lucida Sans Unicode" w:hAnsi="Arial"/>
          <w:b/>
          <w:iCs w:val="0"/>
          <w:color w:val="000000"/>
          <w:sz w:val="24"/>
          <w:szCs w:val="24"/>
        </w:rPr>
        <w:t>December 2020</w:t>
      </w:r>
    </w:p>
    <w:p w14:paraId="4FE51DE6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Arial" w:eastAsia="Lucida Sans Unicode" w:hAnsi="Arial"/>
          <w:b/>
          <w:iCs w:val="0"/>
          <w:color w:val="000000"/>
          <w:sz w:val="24"/>
          <w:szCs w:val="24"/>
        </w:rPr>
      </w:pPr>
    </w:p>
    <w:p w14:paraId="23B8D6F3" w14:textId="77777777" w:rsidR="00270A1E" w:rsidRPr="00270A1E" w:rsidRDefault="00270A1E" w:rsidP="00270A1E">
      <w:pPr>
        <w:widowControl w:val="0"/>
        <w:suppressAutoHyphens/>
        <w:spacing w:before="0" w:after="0" w:line="240" w:lineRule="auto"/>
        <w:ind w:left="0" w:firstLine="0"/>
        <w:jc w:val="center"/>
        <w:rPr>
          <w:rFonts w:ascii="Arial" w:eastAsia="Lucida Sans Unicode" w:hAnsi="Arial"/>
          <w:b/>
          <w:iCs w:val="0"/>
          <w:color w:val="000000"/>
          <w:sz w:val="24"/>
          <w:szCs w:val="24"/>
        </w:rPr>
      </w:pPr>
      <w:r w:rsidRPr="00270A1E">
        <w:rPr>
          <w:rFonts w:ascii="Arial" w:eastAsia="Lucida Sans Unicode" w:hAnsi="Arial"/>
          <w:b/>
          <w:iCs w:val="0"/>
          <w:color w:val="000000"/>
          <w:sz w:val="24"/>
          <w:szCs w:val="24"/>
        </w:rPr>
        <w:t>Prepared by Hartley Planning and Development Associates Ltd</w:t>
      </w:r>
    </w:p>
    <w:p w14:paraId="19742007" w14:textId="77777777" w:rsidR="00B45F7B" w:rsidRDefault="004D4848" w:rsidP="001E7C8F">
      <w:pPr>
        <w:spacing w:line="360" w:lineRule="auto"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68790C7" w14:textId="77777777" w:rsidR="007D071D" w:rsidRDefault="007D071D" w:rsidP="00865BA3">
      <w:pPr>
        <w:spacing w:before="0" w:after="200" w:line="276" w:lineRule="auto"/>
        <w:ind w:left="0" w:firstLine="0"/>
        <w:rPr>
          <w:rFonts w:ascii="Arial" w:eastAsia="Calibri" w:hAnsi="Arial"/>
          <w:iCs w:val="0"/>
          <w:sz w:val="24"/>
          <w:szCs w:val="24"/>
        </w:rPr>
      </w:pPr>
    </w:p>
    <w:p w14:paraId="21DAF88E" w14:textId="5BF9FF54" w:rsidR="007D071D" w:rsidRPr="0083101A" w:rsidRDefault="007D071D" w:rsidP="00865BA3">
      <w:pPr>
        <w:spacing w:before="0" w:after="200" w:line="276" w:lineRule="auto"/>
        <w:ind w:left="0" w:firstLine="0"/>
        <w:rPr>
          <w:rFonts w:ascii="Arial" w:eastAsia="Calibri" w:hAnsi="Arial"/>
          <w:b/>
          <w:bCs/>
          <w:iCs w:val="0"/>
          <w:sz w:val="24"/>
          <w:szCs w:val="24"/>
        </w:rPr>
      </w:pPr>
      <w:r w:rsidRPr="0083101A">
        <w:rPr>
          <w:rFonts w:ascii="Arial" w:eastAsia="Calibri" w:hAnsi="Arial"/>
          <w:b/>
          <w:bCs/>
          <w:iCs w:val="0"/>
          <w:sz w:val="24"/>
          <w:szCs w:val="24"/>
        </w:rPr>
        <w:t>Procedural matter</w:t>
      </w:r>
    </w:p>
    <w:p w14:paraId="20C52F9B" w14:textId="0F27531A" w:rsidR="007D071D" w:rsidRDefault="007D071D" w:rsidP="00865BA3">
      <w:pPr>
        <w:spacing w:before="0" w:after="200" w:line="276" w:lineRule="auto"/>
        <w:ind w:left="0" w:firstLine="0"/>
        <w:rPr>
          <w:rFonts w:ascii="Arial" w:eastAsia="Calibri" w:hAnsi="Arial"/>
          <w:iCs w:val="0"/>
          <w:sz w:val="24"/>
          <w:szCs w:val="24"/>
        </w:rPr>
      </w:pPr>
      <w:r>
        <w:rPr>
          <w:rFonts w:ascii="Arial" w:eastAsia="Calibri" w:hAnsi="Arial"/>
          <w:iCs w:val="0"/>
          <w:sz w:val="24"/>
          <w:szCs w:val="24"/>
        </w:rPr>
        <w:t xml:space="preserve">The application </w:t>
      </w:r>
      <w:r w:rsidR="00C739E6">
        <w:rPr>
          <w:rFonts w:ascii="Arial" w:eastAsia="Calibri" w:hAnsi="Arial"/>
          <w:iCs w:val="0"/>
          <w:sz w:val="24"/>
          <w:szCs w:val="24"/>
        </w:rPr>
        <w:t xml:space="preserve">spans the boundary between </w:t>
      </w:r>
      <w:r w:rsidR="0083101A">
        <w:rPr>
          <w:rFonts w:ascii="Arial" w:eastAsia="Calibri" w:hAnsi="Arial"/>
          <w:iCs w:val="0"/>
          <w:sz w:val="24"/>
          <w:szCs w:val="24"/>
        </w:rPr>
        <w:t>Rossendale</w:t>
      </w:r>
      <w:r w:rsidR="00C739E6">
        <w:rPr>
          <w:rFonts w:ascii="Arial" w:eastAsia="Calibri" w:hAnsi="Arial"/>
          <w:iCs w:val="0"/>
          <w:sz w:val="24"/>
          <w:szCs w:val="24"/>
        </w:rPr>
        <w:t xml:space="preserve"> and Hyndburn Borough Councils. </w:t>
      </w:r>
      <w:r w:rsidR="0083101A">
        <w:rPr>
          <w:rFonts w:ascii="Arial" w:eastAsia="Calibri" w:hAnsi="Arial"/>
          <w:iCs w:val="0"/>
          <w:sz w:val="24"/>
          <w:szCs w:val="24"/>
        </w:rPr>
        <w:t>The Planning Practice Guidance (PPG) advises as follows: -</w:t>
      </w:r>
    </w:p>
    <w:p w14:paraId="6E10A594" w14:textId="77777777" w:rsidR="0083101A" w:rsidRPr="0083101A" w:rsidRDefault="0083101A" w:rsidP="0083101A">
      <w:pPr>
        <w:spacing w:before="100" w:beforeAutospacing="1" w:after="100" w:afterAutospacing="1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en-GB"/>
        </w:rPr>
      </w:pPr>
      <w:r w:rsidRPr="0083101A">
        <w:rPr>
          <w:rFonts w:ascii="Times New Roman" w:eastAsia="Times New Roman" w:hAnsi="Times New Roman" w:cs="Times New Roman"/>
          <w:b/>
          <w:bCs/>
          <w:iCs w:val="0"/>
          <w:sz w:val="27"/>
          <w:szCs w:val="27"/>
          <w:lang w:eastAsia="en-GB"/>
        </w:rPr>
        <w:t>What if an application relates to land in more than one local planning authority area?</w:t>
      </w:r>
    </w:p>
    <w:p w14:paraId="0FAD0A37" w14:textId="77777777" w:rsidR="0083101A" w:rsidRPr="0083101A" w:rsidRDefault="0083101A" w:rsidP="0083101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  <w:r w:rsidRPr="0083101A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Where a site which is the subject of a planning application straddles one or more local planning authority boundaries, the applicant must submit identical applications to each local planning authority.</w:t>
      </w:r>
    </w:p>
    <w:p w14:paraId="7C6DA5BC" w14:textId="77777777" w:rsidR="0083101A" w:rsidRPr="0083101A" w:rsidRDefault="0083101A" w:rsidP="0083101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  <w:r w:rsidRPr="0083101A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 xml:space="preserve">See further guidance on </w:t>
      </w:r>
      <w:hyperlink r:id="rId7" w:anchor="land-falling-within-two-or-more" w:history="1">
        <w:r w:rsidRPr="0083101A">
          <w:rPr>
            <w:rFonts w:ascii="Times New Roman" w:eastAsia="Times New Roman" w:hAnsi="Times New Roman" w:cs="Times New Roman"/>
            <w:iCs w:val="0"/>
            <w:color w:val="0000FF"/>
            <w:sz w:val="24"/>
            <w:szCs w:val="24"/>
            <w:u w:val="single"/>
            <w:lang w:eastAsia="en-GB"/>
          </w:rPr>
          <w:t>how local planning authorities should publicise such ‘cross boundary’ applications</w:t>
        </w:r>
      </w:hyperlink>
      <w:r w:rsidRPr="0083101A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. The planning fee is payable solely to the authority of wherever area contains the larger or largest part of the whole application site.</w:t>
      </w:r>
    </w:p>
    <w:p w14:paraId="157C21A0" w14:textId="77777777" w:rsidR="0083101A" w:rsidRPr="0083101A" w:rsidRDefault="0083101A" w:rsidP="0083101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  <w:r w:rsidRPr="0083101A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Paragraph: 011 Reference ID: 14-011-20140306</w:t>
      </w:r>
    </w:p>
    <w:p w14:paraId="5622A235" w14:textId="62860EF5" w:rsidR="0083101A" w:rsidRDefault="0083101A" w:rsidP="0083101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  <w:r w:rsidRPr="0083101A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Revision date: 06 03 2014</w:t>
      </w:r>
    </w:p>
    <w:p w14:paraId="4BF8B993" w14:textId="73259668" w:rsidR="00724309" w:rsidRPr="0083101A" w:rsidRDefault="002A77AD" w:rsidP="0083101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Approximately 1</w:t>
      </w:r>
      <w:r w:rsidR="00D475E8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05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 xml:space="preserve"> metres would lie within Hyndburn BC and 1</w:t>
      </w:r>
      <w:r w:rsidR="00D475E8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 xml:space="preserve"> metres within Rossendale BC</w:t>
      </w:r>
    </w:p>
    <w:p w14:paraId="2225FE0D" w14:textId="10CF42D6" w:rsidR="00865BA3" w:rsidRPr="003151BB" w:rsidRDefault="003151BB" w:rsidP="00B45F7B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Arial" w:hAnsi="Arial"/>
          <w:b/>
          <w:bCs/>
          <w:sz w:val="28"/>
          <w:szCs w:val="28"/>
        </w:rPr>
      </w:pPr>
      <w:r w:rsidRPr="003151BB">
        <w:rPr>
          <w:rFonts w:ascii="Arial" w:hAnsi="Arial"/>
          <w:b/>
          <w:bCs/>
          <w:sz w:val="28"/>
          <w:szCs w:val="28"/>
        </w:rPr>
        <w:t xml:space="preserve">The proposed development </w:t>
      </w:r>
    </w:p>
    <w:p w14:paraId="31E8127A" w14:textId="1DE54F9C" w:rsidR="001D6D25" w:rsidRDefault="00B61799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Spittens Farm </w:t>
      </w:r>
      <w:r w:rsidR="00E67135">
        <w:rPr>
          <w:rFonts w:ascii="Arial" w:hAnsi="Arial"/>
          <w:sz w:val="24"/>
          <w:szCs w:val="24"/>
        </w:rPr>
        <w:t xml:space="preserve">comprises </w:t>
      </w:r>
      <w:r w:rsidR="003F6BFE">
        <w:rPr>
          <w:rFonts w:ascii="Arial" w:hAnsi="Arial"/>
          <w:sz w:val="24"/>
          <w:szCs w:val="24"/>
        </w:rPr>
        <w:t xml:space="preserve">some </w:t>
      </w:r>
      <w:r w:rsidR="006D33E6" w:rsidRPr="006D33E6">
        <w:rPr>
          <w:rFonts w:ascii="Arial" w:hAnsi="Arial"/>
          <w:sz w:val="24"/>
          <w:szCs w:val="24"/>
        </w:rPr>
        <w:t>8</w:t>
      </w:r>
      <w:r w:rsidR="003F6BFE" w:rsidRPr="006D33E6">
        <w:rPr>
          <w:rFonts w:ascii="Arial" w:hAnsi="Arial"/>
          <w:sz w:val="24"/>
          <w:szCs w:val="24"/>
        </w:rPr>
        <w:t>0 acres</w:t>
      </w:r>
      <w:r>
        <w:rPr>
          <w:rFonts w:ascii="Arial" w:hAnsi="Arial"/>
          <w:sz w:val="24"/>
          <w:szCs w:val="24"/>
        </w:rPr>
        <w:t xml:space="preserve"> and concentrates on beef cattle and sheep</w:t>
      </w:r>
      <w:r w:rsidR="004F7DD6">
        <w:rPr>
          <w:rFonts w:ascii="Arial" w:hAnsi="Arial"/>
          <w:sz w:val="24"/>
          <w:szCs w:val="24"/>
        </w:rPr>
        <w:t>. Access is from R</w:t>
      </w:r>
      <w:r w:rsidR="00C73E3E">
        <w:rPr>
          <w:rFonts w:ascii="Arial" w:hAnsi="Arial"/>
          <w:sz w:val="24"/>
          <w:szCs w:val="24"/>
        </w:rPr>
        <w:t>oundhill Road</w:t>
      </w:r>
      <w:r w:rsidR="000533E8">
        <w:rPr>
          <w:rFonts w:ascii="Arial" w:hAnsi="Arial"/>
          <w:sz w:val="24"/>
          <w:szCs w:val="24"/>
        </w:rPr>
        <w:t xml:space="preserve"> but at a highly dangerous point</w:t>
      </w:r>
      <w:r w:rsidR="00EC3A98">
        <w:rPr>
          <w:rFonts w:ascii="Arial" w:hAnsi="Arial"/>
          <w:sz w:val="24"/>
          <w:szCs w:val="24"/>
        </w:rPr>
        <w:t>,</w:t>
      </w:r>
      <w:r w:rsidR="000533E8">
        <w:rPr>
          <w:rFonts w:ascii="Arial" w:hAnsi="Arial"/>
          <w:sz w:val="24"/>
          <w:szCs w:val="24"/>
        </w:rPr>
        <w:t xml:space="preserve"> below the crest of a hill</w:t>
      </w:r>
      <w:r w:rsidR="00EC3A98">
        <w:rPr>
          <w:rFonts w:ascii="Arial" w:hAnsi="Arial"/>
          <w:sz w:val="24"/>
          <w:szCs w:val="24"/>
        </w:rPr>
        <w:t>,</w:t>
      </w:r>
      <w:r w:rsidR="002B3FD6">
        <w:rPr>
          <w:rFonts w:ascii="Arial" w:hAnsi="Arial"/>
          <w:sz w:val="24"/>
          <w:szCs w:val="24"/>
        </w:rPr>
        <w:t xml:space="preserve"> especially when exiting onto Roundhill Road with a </w:t>
      </w:r>
      <w:r w:rsidR="001D6D25">
        <w:rPr>
          <w:rFonts w:ascii="Arial" w:hAnsi="Arial"/>
          <w:sz w:val="24"/>
          <w:szCs w:val="24"/>
        </w:rPr>
        <w:t xml:space="preserve">trailer or tractor. </w:t>
      </w:r>
    </w:p>
    <w:p w14:paraId="4A86440E" w14:textId="64652525" w:rsidR="001D6D25" w:rsidRDefault="001D6D25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Therefore</w:t>
      </w:r>
      <w:r w:rsidR="003151B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the applicants wish to alleviate the danger by constructing an alternative access.</w:t>
      </w:r>
    </w:p>
    <w:p w14:paraId="79B1F00C" w14:textId="702C0914" w:rsidR="004F093A" w:rsidRDefault="00532CBB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alternative access would </w:t>
      </w:r>
      <w:r w:rsidR="0019209B">
        <w:rPr>
          <w:rFonts w:ascii="Arial" w:hAnsi="Arial"/>
          <w:sz w:val="24"/>
          <w:szCs w:val="24"/>
        </w:rPr>
        <w:t xml:space="preserve">be </w:t>
      </w:r>
      <w:r w:rsidR="004F093A">
        <w:rPr>
          <w:rFonts w:ascii="Arial" w:hAnsi="Arial"/>
          <w:sz w:val="24"/>
          <w:szCs w:val="24"/>
        </w:rPr>
        <w:t>alongside the</w:t>
      </w:r>
      <w:r>
        <w:rPr>
          <w:rFonts w:ascii="Arial" w:hAnsi="Arial"/>
          <w:sz w:val="24"/>
          <w:szCs w:val="24"/>
        </w:rPr>
        <w:t xml:space="preserve"> line of footpath</w:t>
      </w:r>
      <w:r w:rsidR="002E448C">
        <w:rPr>
          <w:rFonts w:ascii="Arial" w:hAnsi="Arial"/>
          <w:sz w:val="24"/>
          <w:szCs w:val="24"/>
        </w:rPr>
        <w:t xml:space="preserve">s </w:t>
      </w:r>
      <w:r w:rsidR="00825C8E">
        <w:rPr>
          <w:rFonts w:ascii="Arial" w:hAnsi="Arial"/>
          <w:sz w:val="24"/>
          <w:szCs w:val="24"/>
        </w:rPr>
        <w:t>14-2-FP78 and      11-1-</w:t>
      </w:r>
      <w:r>
        <w:rPr>
          <w:rFonts w:ascii="Arial" w:hAnsi="Arial"/>
          <w:sz w:val="24"/>
          <w:szCs w:val="24"/>
        </w:rPr>
        <w:t xml:space="preserve"> </w:t>
      </w:r>
      <w:r w:rsidR="00825C8E">
        <w:rPr>
          <w:rFonts w:ascii="Arial" w:hAnsi="Arial"/>
          <w:sz w:val="24"/>
          <w:szCs w:val="24"/>
        </w:rPr>
        <w:t>264</w:t>
      </w:r>
      <w:r w:rsidR="007162E3">
        <w:rPr>
          <w:rFonts w:ascii="Arial" w:hAnsi="Arial"/>
          <w:sz w:val="24"/>
          <w:szCs w:val="24"/>
        </w:rPr>
        <w:t>. There is already a field gate where it is proposed that the new access lane would meet Roundhill Ro</w:t>
      </w:r>
      <w:r w:rsidR="004F093A">
        <w:rPr>
          <w:rFonts w:ascii="Arial" w:hAnsi="Arial"/>
          <w:sz w:val="24"/>
          <w:szCs w:val="24"/>
        </w:rPr>
        <w:t xml:space="preserve">ad. </w:t>
      </w:r>
    </w:p>
    <w:p w14:paraId="2C4F70B4" w14:textId="44548653" w:rsidR="00532CBB" w:rsidRPr="001D6D25" w:rsidRDefault="007801E1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810F9">
        <w:rPr>
          <w:rFonts w:ascii="Arial" w:hAnsi="Arial"/>
          <w:sz w:val="24"/>
          <w:szCs w:val="24"/>
        </w:rPr>
        <w:t>Access to and from the footpath would be maintained</w:t>
      </w:r>
      <w:r w:rsidR="006F63DD">
        <w:rPr>
          <w:rFonts w:ascii="Arial" w:hAnsi="Arial"/>
          <w:sz w:val="24"/>
          <w:szCs w:val="24"/>
        </w:rPr>
        <w:t xml:space="preserve"> and the proposal includes a pedestrian access at the junction with </w:t>
      </w:r>
      <w:r w:rsidR="0061637A">
        <w:rPr>
          <w:rFonts w:ascii="Arial" w:hAnsi="Arial"/>
          <w:sz w:val="24"/>
          <w:szCs w:val="24"/>
        </w:rPr>
        <w:t>Roundhill</w:t>
      </w:r>
      <w:r w:rsidR="006F63DD">
        <w:rPr>
          <w:rFonts w:ascii="Arial" w:hAnsi="Arial"/>
          <w:sz w:val="24"/>
          <w:szCs w:val="24"/>
        </w:rPr>
        <w:t xml:space="preserve"> Road.</w:t>
      </w:r>
    </w:p>
    <w:p w14:paraId="7037C825" w14:textId="41DB47EA" w:rsidR="0061637A" w:rsidRDefault="0061637A" w:rsidP="0061637A">
      <w:pPr>
        <w:spacing w:line="360" w:lineRule="auto"/>
        <w:ind w:left="0" w:firstLine="0"/>
        <w:rPr>
          <w:rFonts w:ascii="Arial" w:hAnsi="Arial"/>
          <w:sz w:val="24"/>
          <w:szCs w:val="24"/>
        </w:rPr>
      </w:pPr>
    </w:p>
    <w:p w14:paraId="1462BA0C" w14:textId="2A881043" w:rsidR="00BE674E" w:rsidRDefault="00BE674E" w:rsidP="0061637A">
      <w:pPr>
        <w:spacing w:line="360" w:lineRule="auto"/>
        <w:ind w:left="0" w:firstLine="0"/>
        <w:rPr>
          <w:rFonts w:ascii="Arial" w:hAnsi="Arial"/>
          <w:sz w:val="24"/>
          <w:szCs w:val="24"/>
        </w:rPr>
      </w:pPr>
    </w:p>
    <w:p w14:paraId="40E4B321" w14:textId="20B8DC32" w:rsidR="00BE674E" w:rsidRDefault="00BE674E" w:rsidP="0061637A">
      <w:pPr>
        <w:spacing w:line="360" w:lineRule="auto"/>
        <w:ind w:left="0" w:firstLine="0"/>
        <w:rPr>
          <w:rFonts w:ascii="Arial" w:hAnsi="Arial"/>
          <w:sz w:val="24"/>
          <w:szCs w:val="24"/>
        </w:rPr>
      </w:pPr>
    </w:p>
    <w:p w14:paraId="6EE43085" w14:textId="43264DA9" w:rsidR="00BE674E" w:rsidRDefault="00BE674E" w:rsidP="0061637A">
      <w:pPr>
        <w:spacing w:line="360" w:lineRule="auto"/>
        <w:ind w:left="0" w:firstLine="0"/>
        <w:rPr>
          <w:rFonts w:ascii="Arial" w:hAnsi="Arial"/>
          <w:sz w:val="24"/>
          <w:szCs w:val="24"/>
        </w:rPr>
      </w:pPr>
    </w:p>
    <w:p w14:paraId="2F7E233D" w14:textId="151AA2A5" w:rsidR="00BE674E" w:rsidRDefault="00BE674E" w:rsidP="0061637A">
      <w:pPr>
        <w:spacing w:line="360" w:lineRule="auto"/>
        <w:ind w:left="0" w:firstLine="0"/>
        <w:rPr>
          <w:rFonts w:ascii="Arial" w:hAnsi="Arial"/>
          <w:sz w:val="24"/>
          <w:szCs w:val="24"/>
        </w:rPr>
      </w:pPr>
    </w:p>
    <w:p w14:paraId="39DE525B" w14:textId="241202ED" w:rsidR="00BE674E" w:rsidRPr="001D6D25" w:rsidRDefault="00BE674E" w:rsidP="0061637A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 wp14:anchorId="6206F64B" wp14:editId="0D46055B">
            <wp:extent cx="5532120" cy="3116580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BD67" w14:textId="77777777" w:rsidR="00BE674E" w:rsidRDefault="00BE674E" w:rsidP="006946D0">
      <w:pPr>
        <w:spacing w:line="360" w:lineRule="auto"/>
        <w:ind w:left="0" w:firstLine="0"/>
        <w:rPr>
          <w:rFonts w:ascii="Arial" w:hAnsi="Arial"/>
          <w:sz w:val="24"/>
          <w:szCs w:val="24"/>
        </w:rPr>
      </w:pPr>
    </w:p>
    <w:p w14:paraId="0256EF43" w14:textId="52481913" w:rsidR="006946D0" w:rsidRDefault="006946D0" w:rsidP="006946D0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submitted plans include a cross section to show the construction details and to show its proposed siting.</w:t>
      </w:r>
    </w:p>
    <w:p w14:paraId="6F6728A5" w14:textId="0752C358" w:rsidR="00E67135" w:rsidRDefault="006946D0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6B53CF">
        <w:rPr>
          <w:rFonts w:ascii="Arial" w:hAnsi="Arial"/>
          <w:sz w:val="24"/>
          <w:szCs w:val="24"/>
        </w:rPr>
        <w:t xml:space="preserve">proposal is for it to be </w:t>
      </w:r>
      <w:r w:rsidR="00E67135">
        <w:rPr>
          <w:rFonts w:ascii="Arial" w:hAnsi="Arial"/>
          <w:sz w:val="24"/>
          <w:szCs w:val="24"/>
        </w:rPr>
        <w:t>2* 1</w:t>
      </w:r>
      <w:r w:rsidR="001E7C8F">
        <w:rPr>
          <w:rFonts w:ascii="Arial" w:hAnsi="Arial"/>
          <w:sz w:val="24"/>
          <w:szCs w:val="24"/>
        </w:rPr>
        <w:t xml:space="preserve"> metre wide</w:t>
      </w:r>
      <w:r w:rsidR="00E67135">
        <w:rPr>
          <w:rFonts w:ascii="Arial" w:hAnsi="Arial"/>
          <w:sz w:val="24"/>
          <w:szCs w:val="24"/>
        </w:rPr>
        <w:t xml:space="preserve"> * 200</w:t>
      </w:r>
      <w:r w:rsidR="001E7C8F">
        <w:rPr>
          <w:rFonts w:ascii="Arial" w:hAnsi="Arial"/>
          <w:sz w:val="24"/>
          <w:szCs w:val="24"/>
        </w:rPr>
        <w:t xml:space="preserve"> </w:t>
      </w:r>
      <w:r w:rsidR="00E67135">
        <w:rPr>
          <w:rFonts w:ascii="Arial" w:hAnsi="Arial"/>
          <w:sz w:val="24"/>
          <w:szCs w:val="24"/>
        </w:rPr>
        <w:t>mm deep excavations to be filled with free draining consolidated hardcore on textile geot</w:t>
      </w:r>
      <w:r w:rsidR="001E7C8F">
        <w:rPr>
          <w:rFonts w:ascii="Arial" w:hAnsi="Arial"/>
          <w:sz w:val="24"/>
          <w:szCs w:val="24"/>
        </w:rPr>
        <w:t>ec</w:t>
      </w:r>
      <w:r w:rsidR="00E67135">
        <w:rPr>
          <w:rFonts w:ascii="Arial" w:hAnsi="Arial"/>
          <w:sz w:val="24"/>
          <w:szCs w:val="24"/>
        </w:rPr>
        <w:t xml:space="preserve">hnic membrane to form twin track access with </w:t>
      </w:r>
      <w:r w:rsidR="001E7C8F">
        <w:rPr>
          <w:rFonts w:ascii="Arial" w:hAnsi="Arial"/>
          <w:sz w:val="24"/>
          <w:szCs w:val="24"/>
        </w:rPr>
        <w:t>grassed central strip.</w:t>
      </w:r>
    </w:p>
    <w:p w14:paraId="0D1CBF65" w14:textId="42439DCC" w:rsidR="003B55E3" w:rsidRDefault="003B55E3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change</w:t>
      </w:r>
      <w:r w:rsidR="00D56C0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to existing levels are proposed</w:t>
      </w:r>
    </w:p>
    <w:p w14:paraId="37096178" w14:textId="363BAB00" w:rsidR="007473D7" w:rsidRDefault="007473D7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Walling at the junction with Roundhill Road would be reduced to no higher than 800mm in order to permit </w:t>
      </w:r>
      <w:r w:rsidR="00E7477E">
        <w:rPr>
          <w:rFonts w:ascii="Arial" w:hAnsi="Arial"/>
          <w:sz w:val="24"/>
          <w:szCs w:val="24"/>
        </w:rPr>
        <w:t xml:space="preserve">sightlines in both directions of at least 90m when viewed 2.4 meters back from the edge of the </w:t>
      </w:r>
      <w:r w:rsidR="00301223">
        <w:rPr>
          <w:rFonts w:ascii="Arial" w:hAnsi="Arial"/>
          <w:sz w:val="24"/>
          <w:szCs w:val="24"/>
        </w:rPr>
        <w:t>carriageway. (</w:t>
      </w:r>
      <w:r w:rsidR="00690706">
        <w:rPr>
          <w:rFonts w:ascii="Arial" w:hAnsi="Arial"/>
          <w:sz w:val="24"/>
          <w:szCs w:val="24"/>
        </w:rPr>
        <w:t>See submitted plans)</w:t>
      </w:r>
    </w:p>
    <w:p w14:paraId="1C09E48C" w14:textId="7BDE5C17" w:rsidR="00E7477E" w:rsidRDefault="00E7477E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entrance gate would be set in from the carriageway by </w:t>
      </w:r>
      <w:r w:rsidR="009323DC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 metres to allow </w:t>
      </w:r>
      <w:r w:rsidR="006C59AF">
        <w:rPr>
          <w:rFonts w:ascii="Arial" w:hAnsi="Arial"/>
          <w:sz w:val="24"/>
          <w:szCs w:val="24"/>
        </w:rPr>
        <w:t>drivers with</w:t>
      </w:r>
      <w:r w:rsidR="000A6B37">
        <w:rPr>
          <w:rFonts w:ascii="Arial" w:hAnsi="Arial"/>
          <w:sz w:val="24"/>
          <w:szCs w:val="24"/>
        </w:rPr>
        <w:t xml:space="preserve"> a trailer </w:t>
      </w:r>
      <w:r w:rsidR="000B129C">
        <w:rPr>
          <w:rFonts w:ascii="Arial" w:hAnsi="Arial"/>
          <w:sz w:val="24"/>
          <w:szCs w:val="24"/>
        </w:rPr>
        <w:t xml:space="preserve">to </w:t>
      </w:r>
      <w:r w:rsidR="00031741">
        <w:rPr>
          <w:rFonts w:ascii="Arial" w:hAnsi="Arial"/>
          <w:sz w:val="24"/>
          <w:szCs w:val="24"/>
        </w:rPr>
        <w:t xml:space="preserve">pull </w:t>
      </w:r>
      <w:r w:rsidR="000B129C">
        <w:rPr>
          <w:rFonts w:ascii="Arial" w:hAnsi="Arial"/>
          <w:sz w:val="24"/>
          <w:szCs w:val="24"/>
        </w:rPr>
        <w:t xml:space="preserve">off Roundhill Road </w:t>
      </w:r>
      <w:r w:rsidR="000A6B37">
        <w:rPr>
          <w:rFonts w:ascii="Arial" w:hAnsi="Arial"/>
          <w:sz w:val="24"/>
          <w:szCs w:val="24"/>
        </w:rPr>
        <w:t>in order to open the gate.</w:t>
      </w:r>
      <w:r w:rsidR="00652E7C">
        <w:rPr>
          <w:rFonts w:ascii="Arial" w:hAnsi="Arial"/>
          <w:sz w:val="24"/>
          <w:szCs w:val="24"/>
        </w:rPr>
        <w:t xml:space="preserve"> This area would be tarmacadamed to prevent loose materials being brought onto Roundhill Road</w:t>
      </w:r>
      <w:r w:rsidR="002A2318">
        <w:rPr>
          <w:rFonts w:ascii="Arial" w:hAnsi="Arial"/>
          <w:sz w:val="24"/>
          <w:szCs w:val="24"/>
        </w:rPr>
        <w:t>.</w:t>
      </w:r>
    </w:p>
    <w:p w14:paraId="3CE401FE" w14:textId="3E38BEC2" w:rsidR="00C7311E" w:rsidRDefault="002A2318" w:rsidP="002D01B8">
      <w:pPr>
        <w:spacing w:line="360" w:lineRule="auto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</w:t>
      </w:r>
      <w:r w:rsidR="00031741">
        <w:rPr>
          <w:rFonts w:ascii="Arial" w:hAnsi="Arial"/>
          <w:sz w:val="24"/>
          <w:szCs w:val="24"/>
        </w:rPr>
        <w:t xml:space="preserve">separate </w:t>
      </w:r>
      <w:r w:rsidR="006C59AF">
        <w:rPr>
          <w:rFonts w:ascii="Arial" w:hAnsi="Arial"/>
          <w:sz w:val="24"/>
          <w:szCs w:val="24"/>
        </w:rPr>
        <w:t>pedestrian gate would be included where the footpath meets Roundhill Road</w:t>
      </w:r>
      <w:r w:rsidR="00031741">
        <w:rPr>
          <w:rFonts w:ascii="Arial" w:hAnsi="Arial"/>
          <w:sz w:val="24"/>
          <w:szCs w:val="24"/>
        </w:rPr>
        <w:t>.</w:t>
      </w:r>
    </w:p>
    <w:sectPr w:rsidR="00C7311E" w:rsidSect="002D126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491D5" w14:textId="77777777" w:rsidR="0006489D" w:rsidRDefault="0006489D" w:rsidP="00E67135">
      <w:pPr>
        <w:spacing w:before="0" w:after="0" w:line="240" w:lineRule="auto"/>
      </w:pPr>
      <w:r>
        <w:separator/>
      </w:r>
    </w:p>
  </w:endnote>
  <w:endnote w:type="continuationSeparator" w:id="0">
    <w:p w14:paraId="28459BE1" w14:textId="77777777" w:rsidR="0006489D" w:rsidRDefault="0006489D" w:rsidP="00E671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200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7C83C" w14:textId="004A1D8D" w:rsidR="001E7C8F" w:rsidRDefault="001E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2BC3" w14:textId="77777777" w:rsidR="001E7C8F" w:rsidRDefault="001E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D8019" w14:textId="77777777" w:rsidR="0006489D" w:rsidRDefault="0006489D" w:rsidP="00E67135">
      <w:pPr>
        <w:spacing w:before="0" w:after="0" w:line="240" w:lineRule="auto"/>
      </w:pPr>
      <w:r>
        <w:separator/>
      </w:r>
    </w:p>
  </w:footnote>
  <w:footnote w:type="continuationSeparator" w:id="0">
    <w:p w14:paraId="30C76E3F" w14:textId="77777777" w:rsidR="0006489D" w:rsidRDefault="0006489D" w:rsidP="00E671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976A2"/>
    <w:multiLevelType w:val="hybridMultilevel"/>
    <w:tmpl w:val="F6D4C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4"/>
    <w:rsid w:val="00031741"/>
    <w:rsid w:val="000533E8"/>
    <w:rsid w:val="0006489D"/>
    <w:rsid w:val="000A60CC"/>
    <w:rsid w:val="000A6B37"/>
    <w:rsid w:val="000B129C"/>
    <w:rsid w:val="000E1A98"/>
    <w:rsid w:val="00101ADE"/>
    <w:rsid w:val="0017081D"/>
    <w:rsid w:val="0019209B"/>
    <w:rsid w:val="001C582C"/>
    <w:rsid w:val="001D3DDD"/>
    <w:rsid w:val="001D6D25"/>
    <w:rsid w:val="001E7C8F"/>
    <w:rsid w:val="001F1C52"/>
    <w:rsid w:val="00204551"/>
    <w:rsid w:val="002526C6"/>
    <w:rsid w:val="00270A1E"/>
    <w:rsid w:val="00294986"/>
    <w:rsid w:val="002A2318"/>
    <w:rsid w:val="002A77AD"/>
    <w:rsid w:val="002B3FD6"/>
    <w:rsid w:val="002D01B8"/>
    <w:rsid w:val="002D1265"/>
    <w:rsid w:val="002D4327"/>
    <w:rsid w:val="002E448C"/>
    <w:rsid w:val="00301223"/>
    <w:rsid w:val="00302597"/>
    <w:rsid w:val="00304E3E"/>
    <w:rsid w:val="003151BB"/>
    <w:rsid w:val="00326748"/>
    <w:rsid w:val="003426C1"/>
    <w:rsid w:val="003554F6"/>
    <w:rsid w:val="00373354"/>
    <w:rsid w:val="003835AA"/>
    <w:rsid w:val="003B55E3"/>
    <w:rsid w:val="003D4D2C"/>
    <w:rsid w:val="003F6BFE"/>
    <w:rsid w:val="004014BD"/>
    <w:rsid w:val="0045160C"/>
    <w:rsid w:val="004D1977"/>
    <w:rsid w:val="004D4848"/>
    <w:rsid w:val="004F093A"/>
    <w:rsid w:val="004F7DD6"/>
    <w:rsid w:val="00502190"/>
    <w:rsid w:val="00532CBB"/>
    <w:rsid w:val="0054228F"/>
    <w:rsid w:val="00546A5F"/>
    <w:rsid w:val="00584A75"/>
    <w:rsid w:val="0061637A"/>
    <w:rsid w:val="00652E7C"/>
    <w:rsid w:val="006579DA"/>
    <w:rsid w:val="00690706"/>
    <w:rsid w:val="006946D0"/>
    <w:rsid w:val="006B53CF"/>
    <w:rsid w:val="006C59AF"/>
    <w:rsid w:val="006D33E6"/>
    <w:rsid w:val="006F63DD"/>
    <w:rsid w:val="007162E3"/>
    <w:rsid w:val="00724309"/>
    <w:rsid w:val="00725B29"/>
    <w:rsid w:val="007473D7"/>
    <w:rsid w:val="007736A6"/>
    <w:rsid w:val="00775C14"/>
    <w:rsid w:val="007801E1"/>
    <w:rsid w:val="007D071D"/>
    <w:rsid w:val="00814BFE"/>
    <w:rsid w:val="00825C8E"/>
    <w:rsid w:val="0083101A"/>
    <w:rsid w:val="00836648"/>
    <w:rsid w:val="00865BA3"/>
    <w:rsid w:val="008810F9"/>
    <w:rsid w:val="00895E82"/>
    <w:rsid w:val="0091777D"/>
    <w:rsid w:val="009323DC"/>
    <w:rsid w:val="009520DB"/>
    <w:rsid w:val="009F14FF"/>
    <w:rsid w:val="00A0600A"/>
    <w:rsid w:val="00A130DC"/>
    <w:rsid w:val="00A40A0F"/>
    <w:rsid w:val="00A96ADD"/>
    <w:rsid w:val="00AB3EDD"/>
    <w:rsid w:val="00AC5E0A"/>
    <w:rsid w:val="00B45F7B"/>
    <w:rsid w:val="00B61799"/>
    <w:rsid w:val="00BE674E"/>
    <w:rsid w:val="00BF4466"/>
    <w:rsid w:val="00C02B8F"/>
    <w:rsid w:val="00C25B17"/>
    <w:rsid w:val="00C51A14"/>
    <w:rsid w:val="00C7311E"/>
    <w:rsid w:val="00C739E6"/>
    <w:rsid w:val="00C73E3E"/>
    <w:rsid w:val="00C75E64"/>
    <w:rsid w:val="00CA12F5"/>
    <w:rsid w:val="00D33821"/>
    <w:rsid w:val="00D475E8"/>
    <w:rsid w:val="00D56C05"/>
    <w:rsid w:val="00DF1F84"/>
    <w:rsid w:val="00E03658"/>
    <w:rsid w:val="00E463E2"/>
    <w:rsid w:val="00E67135"/>
    <w:rsid w:val="00E7477E"/>
    <w:rsid w:val="00EA44E7"/>
    <w:rsid w:val="00EC3A98"/>
    <w:rsid w:val="00F03C36"/>
    <w:rsid w:val="00F24D60"/>
    <w:rsid w:val="00F264BB"/>
    <w:rsid w:val="00F51E04"/>
    <w:rsid w:val="00F719F9"/>
    <w:rsid w:val="00FB150D"/>
    <w:rsid w:val="00FB48EA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1525"/>
  <w15:chartTrackingRefBased/>
  <w15:docId w15:val="{53DC16AE-FEBD-4ED6-8ED6-1F81594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iCs/>
        <w:sz w:val="22"/>
        <w:szCs w:val="22"/>
        <w:lang w:val="en-GB" w:eastAsia="en-US" w:bidi="ar-SA"/>
      </w:rPr>
    </w:rPrDefault>
    <w:pPrDefault>
      <w:pPr>
        <w:spacing w:before="172" w:after="160" w:line="220" w:lineRule="exact"/>
        <w:ind w:left="283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35"/>
  </w:style>
  <w:style w:type="paragraph" w:styleId="Footer">
    <w:name w:val="footer"/>
    <w:basedOn w:val="Normal"/>
    <w:link w:val="FooterChar"/>
    <w:uiPriority w:val="99"/>
    <w:unhideWhenUsed/>
    <w:rsid w:val="00E671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35"/>
  </w:style>
  <w:style w:type="table" w:styleId="TableGrid">
    <w:name w:val="Table Grid"/>
    <w:basedOn w:val="TableNormal"/>
    <w:uiPriority w:val="39"/>
    <w:rsid w:val="0030259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nsultation-and-pre-decision-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Hartley</dc:creator>
  <cp:keywords/>
  <dc:description/>
  <cp:lastModifiedBy>pati-svc</cp:lastModifiedBy>
  <cp:revision>2</cp:revision>
  <dcterms:created xsi:type="dcterms:W3CDTF">2020-12-13T15:18:00Z</dcterms:created>
  <dcterms:modified xsi:type="dcterms:W3CDTF">2020-12-13T15:18:00Z</dcterms:modified>
</cp:coreProperties>
</file>