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8D8D8"/>
  <w:body>
    <w:p w14:paraId="4AA26651" w14:textId="77777777" w:rsidR="002E5FB4" w:rsidRPr="008D7DE3" w:rsidRDefault="002E5FB4" w:rsidP="002E5FB4">
      <w:pPr>
        <w:pBdr>
          <w:bottom w:val="single" w:sz="6" w:space="1" w:color="auto"/>
        </w:pBdr>
        <w:rPr>
          <w:rFonts w:ascii="Book Antiqua" w:hAnsi="Book Antiqua"/>
          <w:strike/>
          <w:color w:val="000000"/>
          <w:sz w:val="24"/>
          <w:szCs w:val="24"/>
        </w:rPr>
      </w:pPr>
    </w:p>
    <w:p w14:paraId="533C1587" w14:textId="77777777" w:rsidR="002E5FB4" w:rsidRPr="00573474" w:rsidRDefault="002E5FB4" w:rsidP="002E5FB4">
      <w:pPr>
        <w:rPr>
          <w:rFonts w:ascii="Book Antiqua" w:hAnsi="Book Antiqua"/>
          <w:color w:val="000000"/>
          <w:sz w:val="24"/>
          <w:szCs w:val="24"/>
        </w:rPr>
      </w:pPr>
    </w:p>
    <w:p w14:paraId="4312CFA8" w14:textId="77777777" w:rsidR="002E5FB4" w:rsidRPr="00573474" w:rsidRDefault="002E5FB4" w:rsidP="002E5FB4">
      <w:pPr>
        <w:rPr>
          <w:rFonts w:ascii="Book Antiqua" w:hAnsi="Book Antiqua"/>
          <w:b/>
          <w:color w:val="FF0000"/>
          <w:sz w:val="36"/>
          <w:szCs w:val="36"/>
        </w:rPr>
      </w:pPr>
      <w:r w:rsidRPr="00573474">
        <w:rPr>
          <w:rFonts w:ascii="Book Antiqua" w:hAnsi="Book Antiqua"/>
          <w:b/>
          <w:color w:val="FF0000"/>
          <w:sz w:val="36"/>
          <w:szCs w:val="36"/>
        </w:rPr>
        <w:t>N.A.WILLIAMS  BUILDING CONSULTANCY LTD</w:t>
      </w:r>
    </w:p>
    <w:p w14:paraId="43B54449" w14:textId="77777777" w:rsidR="002E5FB4" w:rsidRDefault="002E5FB4" w:rsidP="002E5FB4">
      <w:pPr>
        <w:jc w:val="center"/>
        <w:rPr>
          <w:rFonts w:ascii="Book Antiqua" w:hAnsi="Book Antiqua"/>
          <w:b/>
          <w:color w:val="000000"/>
          <w:sz w:val="24"/>
          <w:szCs w:val="24"/>
        </w:rPr>
      </w:pPr>
    </w:p>
    <w:p w14:paraId="1C097FB6" w14:textId="77777777" w:rsidR="002E5FB4" w:rsidRPr="00573474" w:rsidRDefault="00903EE4" w:rsidP="002E5FB4">
      <w:pPr>
        <w:jc w:val="center"/>
        <w:rPr>
          <w:rFonts w:ascii="Book Antiqua" w:hAnsi="Book Antiqua"/>
          <w:b/>
          <w:color w:val="000000"/>
        </w:rPr>
      </w:pPr>
      <w:r>
        <w:rPr>
          <w:rFonts w:ascii="Book Antiqua" w:hAnsi="Book Antiqua"/>
          <w:b/>
          <w:color w:val="000000"/>
        </w:rPr>
        <w:t>40 Lor</w:t>
      </w:r>
      <w:r w:rsidR="0033238D">
        <w:rPr>
          <w:rFonts w:ascii="Book Antiqua" w:hAnsi="Book Antiqua"/>
          <w:b/>
          <w:color w:val="000000"/>
        </w:rPr>
        <w:t xml:space="preserve">ne Road, Dorchester, </w:t>
      </w:r>
      <w:r w:rsidR="007761EB">
        <w:rPr>
          <w:rFonts w:ascii="Book Antiqua" w:hAnsi="Book Antiqua"/>
          <w:b/>
          <w:color w:val="000000"/>
        </w:rPr>
        <w:t xml:space="preserve">Dorset, </w:t>
      </w:r>
      <w:r>
        <w:rPr>
          <w:rFonts w:ascii="Book Antiqua" w:hAnsi="Book Antiqua"/>
          <w:b/>
          <w:color w:val="000000"/>
        </w:rPr>
        <w:t>DT1 2LH</w:t>
      </w:r>
    </w:p>
    <w:p w14:paraId="33751EC4" w14:textId="77777777" w:rsidR="002E5FB4" w:rsidRPr="00573474" w:rsidRDefault="002E5FB4" w:rsidP="002E5FB4">
      <w:pPr>
        <w:rPr>
          <w:rFonts w:ascii="Book Antiqua" w:hAnsi="Book Antiqua"/>
          <w:b/>
          <w:color w:val="000000"/>
        </w:rPr>
      </w:pPr>
    </w:p>
    <w:p w14:paraId="2F2A2124" w14:textId="77777777" w:rsidR="002E5FB4" w:rsidRPr="00573474" w:rsidRDefault="002E5FB4" w:rsidP="002E5FB4">
      <w:pPr>
        <w:pBdr>
          <w:bottom w:val="single" w:sz="6" w:space="1" w:color="auto"/>
        </w:pBdr>
        <w:jc w:val="center"/>
        <w:rPr>
          <w:rFonts w:ascii="Book Antiqua" w:hAnsi="Book Antiqua"/>
          <w:color w:val="000000"/>
          <w:sz w:val="18"/>
          <w:szCs w:val="18"/>
        </w:rPr>
      </w:pPr>
      <w:r w:rsidRPr="00573474">
        <w:rPr>
          <w:rFonts w:ascii="Book Antiqua" w:hAnsi="Book Antiqua"/>
          <w:color w:val="000000"/>
          <w:sz w:val="18"/>
          <w:szCs w:val="18"/>
        </w:rPr>
        <w:t xml:space="preserve">T : 01305 269283    Fax : 01305 269283    Mob: 07717 682937  E-mail: </w:t>
      </w:r>
      <w:r w:rsidR="00104350">
        <w:rPr>
          <w:rFonts w:ascii="Book Antiqua" w:hAnsi="Book Antiqua"/>
          <w:sz w:val="18"/>
          <w:szCs w:val="18"/>
        </w:rPr>
        <w:t>nawilliams@gmx.com</w:t>
      </w:r>
    </w:p>
    <w:p w14:paraId="7E46370B" w14:textId="77777777" w:rsidR="002E5FB4" w:rsidRPr="00573474" w:rsidRDefault="002E5FB4" w:rsidP="002E5FB4">
      <w:pPr>
        <w:pBdr>
          <w:bottom w:val="single" w:sz="6" w:space="1" w:color="auto"/>
        </w:pBdr>
        <w:jc w:val="center"/>
        <w:rPr>
          <w:rFonts w:ascii="Book Antiqua" w:hAnsi="Book Antiqua"/>
          <w:color w:val="000000"/>
          <w:sz w:val="24"/>
          <w:szCs w:val="24"/>
        </w:rPr>
      </w:pPr>
    </w:p>
    <w:p w14:paraId="66BAA072" w14:textId="77777777" w:rsidR="00A92540" w:rsidRDefault="00A92540" w:rsidP="002A4C15">
      <w:pPr>
        <w:rPr>
          <w:rFonts w:ascii="Book Antiqua" w:hAnsi="Book Antiqua"/>
          <w:color w:val="000000"/>
          <w:sz w:val="24"/>
          <w:szCs w:val="24"/>
        </w:rPr>
      </w:pPr>
    </w:p>
    <w:p w14:paraId="20AA3492" w14:textId="77777777" w:rsidR="00560E10" w:rsidRPr="002E508F" w:rsidRDefault="00560E10" w:rsidP="00D77DC0">
      <w:pPr>
        <w:rPr>
          <w:rFonts w:ascii="Arial" w:hAnsi="Arial" w:cs="Arial"/>
          <w:lang w:val="de-DE"/>
        </w:rPr>
      </w:pPr>
    </w:p>
    <w:p w14:paraId="3CAF81E2" w14:textId="77777777" w:rsidR="005661C3" w:rsidRDefault="0033593F" w:rsidP="00215233">
      <w:pPr>
        <w:jc w:val="center"/>
        <w:rPr>
          <w:rFonts w:ascii="Arial" w:hAnsi="Arial" w:cs="Arial"/>
          <w:b/>
          <w:sz w:val="40"/>
          <w:szCs w:val="40"/>
        </w:rPr>
      </w:pPr>
      <w:r w:rsidRPr="004340B0">
        <w:rPr>
          <w:rFonts w:ascii="Arial" w:hAnsi="Arial" w:cs="Arial"/>
          <w:b/>
          <w:sz w:val="40"/>
          <w:szCs w:val="40"/>
        </w:rPr>
        <w:t>DESIGN AND ACCESS</w:t>
      </w:r>
      <w:r w:rsidR="0060256E" w:rsidRPr="004340B0">
        <w:rPr>
          <w:rFonts w:ascii="Arial" w:hAnsi="Arial" w:cs="Arial"/>
          <w:b/>
          <w:sz w:val="40"/>
          <w:szCs w:val="40"/>
        </w:rPr>
        <w:t>IBILITY</w:t>
      </w:r>
      <w:r w:rsidR="00215233">
        <w:rPr>
          <w:rFonts w:ascii="Arial" w:hAnsi="Arial" w:cs="Arial"/>
          <w:b/>
          <w:sz w:val="40"/>
          <w:szCs w:val="40"/>
        </w:rPr>
        <w:t xml:space="preserve"> </w:t>
      </w:r>
    </w:p>
    <w:p w14:paraId="34168176" w14:textId="77777777" w:rsidR="00323325" w:rsidRPr="004340B0" w:rsidRDefault="00323325" w:rsidP="00215233">
      <w:pPr>
        <w:jc w:val="center"/>
        <w:rPr>
          <w:rFonts w:ascii="Arial" w:hAnsi="Arial" w:cs="Arial"/>
          <w:b/>
          <w:sz w:val="40"/>
          <w:szCs w:val="40"/>
        </w:rPr>
      </w:pPr>
    </w:p>
    <w:p w14:paraId="5E7154D9" w14:textId="77777777" w:rsidR="008B1C6C" w:rsidRDefault="008B1C6C" w:rsidP="00D77DC0"/>
    <w:p w14:paraId="3CD0DF86" w14:textId="77777777" w:rsidR="00435E66" w:rsidRDefault="00435E66" w:rsidP="00D77DC0"/>
    <w:p w14:paraId="341BF797" w14:textId="77777777" w:rsidR="00435E66" w:rsidRDefault="00435E66" w:rsidP="00D77DC0"/>
    <w:p w14:paraId="2FF62284" w14:textId="77777777" w:rsidR="00490D4B" w:rsidRDefault="00490D4B" w:rsidP="00D77DC0"/>
    <w:p w14:paraId="1096E072" w14:textId="77777777" w:rsidR="00490D4B" w:rsidRDefault="00490D4B" w:rsidP="00D77DC0"/>
    <w:p w14:paraId="072D3BA0" w14:textId="77777777" w:rsidR="00490D4B" w:rsidRDefault="00490D4B" w:rsidP="00D77DC0"/>
    <w:p w14:paraId="6D55242B" w14:textId="77777777" w:rsidR="00490D4B" w:rsidRDefault="00490D4B" w:rsidP="00D77DC0"/>
    <w:p w14:paraId="7659648D" w14:textId="77777777" w:rsidR="00490D4B" w:rsidRDefault="00490D4B" w:rsidP="00D77DC0"/>
    <w:p w14:paraId="5E737AD1" w14:textId="77777777" w:rsidR="00490D4B" w:rsidRDefault="00490D4B" w:rsidP="00D77DC0"/>
    <w:p w14:paraId="0F3B9F09" w14:textId="77777777" w:rsidR="00490D4B" w:rsidRDefault="00490D4B" w:rsidP="00D77DC0"/>
    <w:p w14:paraId="7D50E073" w14:textId="77777777" w:rsidR="00490D4B" w:rsidRDefault="00490D4B" w:rsidP="00D77DC0"/>
    <w:p w14:paraId="22BFA739" w14:textId="77777777" w:rsidR="00490D4B" w:rsidRDefault="00490D4B" w:rsidP="00D77DC0"/>
    <w:p w14:paraId="2D7EEA88" w14:textId="77777777" w:rsidR="00490D4B" w:rsidRDefault="00490D4B" w:rsidP="00D77DC0"/>
    <w:p w14:paraId="78F83F6A" w14:textId="77777777" w:rsidR="00490D4B" w:rsidRDefault="00490D4B" w:rsidP="00D77DC0"/>
    <w:p w14:paraId="66A5C7CE" w14:textId="77777777" w:rsidR="00490D4B" w:rsidRDefault="00490D4B" w:rsidP="00D77DC0"/>
    <w:p w14:paraId="00EF253F" w14:textId="77777777" w:rsidR="00490D4B" w:rsidRDefault="00490D4B" w:rsidP="00D77DC0"/>
    <w:p w14:paraId="71749B94" w14:textId="77777777" w:rsidR="00490D4B" w:rsidRDefault="00490D4B" w:rsidP="00D77DC0"/>
    <w:p w14:paraId="218177BA" w14:textId="77777777" w:rsidR="00490D4B" w:rsidRDefault="00490D4B" w:rsidP="00D77DC0"/>
    <w:p w14:paraId="7EDADC6E" w14:textId="77777777" w:rsidR="00490D4B" w:rsidRDefault="00490D4B" w:rsidP="00D77DC0"/>
    <w:p w14:paraId="2D475B34" w14:textId="77777777" w:rsidR="00490D4B" w:rsidRDefault="00490D4B" w:rsidP="00D77DC0"/>
    <w:p w14:paraId="25829B74" w14:textId="77777777" w:rsidR="00490D4B" w:rsidRDefault="00490D4B" w:rsidP="00D77DC0"/>
    <w:p w14:paraId="1E928882" w14:textId="77777777" w:rsidR="00490D4B" w:rsidRDefault="00490D4B" w:rsidP="00D77DC0"/>
    <w:p w14:paraId="768BB51F" w14:textId="77777777" w:rsidR="00490D4B" w:rsidRDefault="00490D4B" w:rsidP="00D77DC0"/>
    <w:p w14:paraId="68B0548E" w14:textId="77777777" w:rsidR="00490D4B" w:rsidRDefault="00490D4B" w:rsidP="00D77DC0"/>
    <w:p w14:paraId="4FA8B3D0" w14:textId="77777777" w:rsidR="00490D4B" w:rsidRDefault="00490D4B" w:rsidP="00D77DC0"/>
    <w:p w14:paraId="20A61ECD" w14:textId="27F0F669" w:rsidR="00785F08" w:rsidRDefault="00785F08" w:rsidP="00FA3B17"/>
    <w:p w14:paraId="6229DBA1" w14:textId="0F1DFD41" w:rsidR="00FA3B17" w:rsidRPr="00FA3B17" w:rsidRDefault="00CE64F6" w:rsidP="00FA3B17">
      <w:pPr>
        <w:jc w:val="center"/>
        <w:rPr>
          <w:b/>
          <w:bCs/>
          <w:sz w:val="32"/>
          <w:szCs w:val="32"/>
        </w:rPr>
      </w:pPr>
      <w:r>
        <w:rPr>
          <w:b/>
          <w:bCs/>
          <w:sz w:val="32"/>
          <w:szCs w:val="32"/>
        </w:rPr>
        <w:t>BADGERS CLIFF, THE RIDGEWAY, WEYMOUTH, DT3 5QQ</w:t>
      </w:r>
    </w:p>
    <w:p w14:paraId="27439F9D" w14:textId="28DBD349" w:rsidR="002C46B5" w:rsidRPr="00CE64F6" w:rsidRDefault="00CE64F6" w:rsidP="00785F08">
      <w:pPr>
        <w:jc w:val="center"/>
        <w:rPr>
          <w:b/>
          <w:sz w:val="24"/>
          <w:szCs w:val="24"/>
        </w:rPr>
      </w:pPr>
      <w:r w:rsidRPr="00CE64F6">
        <w:rPr>
          <w:b/>
          <w:sz w:val="24"/>
          <w:szCs w:val="24"/>
        </w:rPr>
        <w:t>CHANGE OF USE OF ANCILLARY ACCOMMODATION TO A SELF-CONTAINED DWELLING</w:t>
      </w:r>
    </w:p>
    <w:p w14:paraId="6BCE85C6" w14:textId="77777777" w:rsidR="002924DD" w:rsidRPr="002924DD" w:rsidRDefault="002924DD" w:rsidP="002924DD">
      <w:pPr>
        <w:jc w:val="center"/>
        <w:rPr>
          <w:b/>
          <w:sz w:val="32"/>
          <w:szCs w:val="32"/>
        </w:rPr>
      </w:pPr>
    </w:p>
    <w:p w14:paraId="4E401F28" w14:textId="77777777" w:rsidR="0033593F" w:rsidRPr="00BD7392" w:rsidRDefault="0033593F" w:rsidP="0033593F">
      <w:pPr>
        <w:rPr>
          <w:rFonts w:cs="Calibri"/>
          <w:b/>
        </w:rPr>
      </w:pPr>
      <w:r w:rsidRPr="00BD7392">
        <w:rPr>
          <w:rFonts w:cs="Calibri"/>
          <w:b/>
        </w:rPr>
        <w:t>Statement compiled by &amp; date</w:t>
      </w:r>
    </w:p>
    <w:p w14:paraId="0CF82E2E" w14:textId="088474C0" w:rsidR="0033593F" w:rsidRPr="00BD7392" w:rsidRDefault="0033593F" w:rsidP="0033593F">
      <w:pPr>
        <w:rPr>
          <w:rFonts w:cs="Calibri"/>
        </w:rPr>
      </w:pPr>
      <w:r w:rsidRPr="00BD7392">
        <w:rPr>
          <w:rFonts w:cs="Calibri"/>
        </w:rPr>
        <w:t xml:space="preserve">N.A.Williams – </w:t>
      </w:r>
      <w:r w:rsidR="00CE64F6">
        <w:rPr>
          <w:rFonts w:cs="Calibri"/>
        </w:rPr>
        <w:t>30</w:t>
      </w:r>
      <w:r w:rsidR="00323325">
        <w:rPr>
          <w:rFonts w:cs="Calibri"/>
        </w:rPr>
        <w:t>.</w:t>
      </w:r>
      <w:r w:rsidR="0054297A">
        <w:rPr>
          <w:rFonts w:cs="Calibri"/>
        </w:rPr>
        <w:t>10.</w:t>
      </w:r>
      <w:r w:rsidR="00323325">
        <w:rPr>
          <w:rFonts w:cs="Calibri"/>
        </w:rPr>
        <w:t>20</w:t>
      </w:r>
      <w:r w:rsidR="002924DD">
        <w:rPr>
          <w:rFonts w:cs="Calibri"/>
        </w:rPr>
        <w:t>20</w:t>
      </w:r>
    </w:p>
    <w:p w14:paraId="2B879F5A" w14:textId="02FB4578" w:rsidR="008B1C6C" w:rsidRDefault="0033593F" w:rsidP="00D77DC0">
      <w:pPr>
        <w:rPr>
          <w:rFonts w:cs="Calibri"/>
        </w:rPr>
      </w:pPr>
      <w:r w:rsidRPr="00BD7392">
        <w:rPr>
          <w:rFonts w:cs="Calibri"/>
        </w:rPr>
        <w:t>N.A.Williams Building Consultancy Limited</w:t>
      </w:r>
    </w:p>
    <w:p w14:paraId="7CA4D08D" w14:textId="59E1A7C3" w:rsidR="00785F08" w:rsidRDefault="00785F08" w:rsidP="00D77DC0">
      <w:pPr>
        <w:rPr>
          <w:rFonts w:cs="Calibri"/>
        </w:rPr>
      </w:pPr>
    </w:p>
    <w:p w14:paraId="40EDBC08" w14:textId="45E77E80" w:rsidR="00785F08" w:rsidRDefault="00785F08" w:rsidP="00D77DC0">
      <w:pPr>
        <w:rPr>
          <w:rFonts w:cs="Calibri"/>
        </w:rPr>
      </w:pPr>
    </w:p>
    <w:p w14:paraId="5CECD395" w14:textId="047DE83A" w:rsidR="00FA3B17" w:rsidRDefault="00FA3B17" w:rsidP="00D77DC0">
      <w:pPr>
        <w:rPr>
          <w:rFonts w:cs="Calibri"/>
        </w:rPr>
      </w:pPr>
    </w:p>
    <w:p w14:paraId="6D42BE87" w14:textId="77777777" w:rsidR="00FA3B17" w:rsidRPr="002C46B5" w:rsidRDefault="00FA3B17" w:rsidP="00D77DC0">
      <w:pPr>
        <w:rPr>
          <w:rFonts w:cs="Calibri"/>
        </w:rPr>
      </w:pPr>
    </w:p>
    <w:p w14:paraId="0CF909E1" w14:textId="77777777" w:rsidR="00903EE4" w:rsidRPr="00903EE4" w:rsidRDefault="00903EE4" w:rsidP="00BD7D84">
      <w:pPr>
        <w:numPr>
          <w:ilvl w:val="0"/>
          <w:numId w:val="11"/>
        </w:numPr>
        <w:rPr>
          <w:b/>
          <w:color w:val="000000"/>
        </w:rPr>
      </w:pPr>
      <w:r w:rsidRPr="00903EE4">
        <w:rPr>
          <w:b/>
          <w:color w:val="000000"/>
        </w:rPr>
        <w:lastRenderedPageBreak/>
        <w:t>PLANNING HISTORY</w:t>
      </w:r>
      <w:r w:rsidR="00C517B9">
        <w:rPr>
          <w:b/>
          <w:color w:val="000000"/>
        </w:rPr>
        <w:t xml:space="preserve"> AND THE PROPOSAL SITE</w:t>
      </w:r>
    </w:p>
    <w:p w14:paraId="48FCA978" w14:textId="77777777" w:rsidR="0033593F" w:rsidRDefault="0033593F" w:rsidP="00BD7D84">
      <w:pPr>
        <w:ind w:left="825"/>
        <w:rPr>
          <w:color w:val="000000"/>
        </w:rPr>
      </w:pPr>
    </w:p>
    <w:p w14:paraId="40BF0C62" w14:textId="3966EEDB" w:rsidR="009A79B4" w:rsidRDefault="00323325" w:rsidP="00102DD6">
      <w:pPr>
        <w:numPr>
          <w:ilvl w:val="2"/>
          <w:numId w:val="16"/>
        </w:numPr>
        <w:rPr>
          <w:color w:val="000000"/>
        </w:rPr>
      </w:pPr>
      <w:r w:rsidRPr="002C46B5">
        <w:rPr>
          <w:color w:val="000000"/>
        </w:rPr>
        <w:t>There ha</w:t>
      </w:r>
      <w:r w:rsidR="00785F08">
        <w:rPr>
          <w:color w:val="000000"/>
        </w:rPr>
        <w:t>ve</w:t>
      </w:r>
      <w:r w:rsidRPr="002C46B5">
        <w:rPr>
          <w:color w:val="000000"/>
        </w:rPr>
        <w:t xml:space="preserve"> been</w:t>
      </w:r>
      <w:r w:rsidR="00CE64F6">
        <w:rPr>
          <w:color w:val="000000"/>
        </w:rPr>
        <w:t xml:space="preserve"> six</w:t>
      </w:r>
      <w:r w:rsidR="00785F08">
        <w:rPr>
          <w:color w:val="000000"/>
        </w:rPr>
        <w:t xml:space="preserve"> </w:t>
      </w:r>
      <w:r w:rsidR="002924DD" w:rsidRPr="002C46B5">
        <w:rPr>
          <w:color w:val="000000"/>
        </w:rPr>
        <w:t>previous Planning application</w:t>
      </w:r>
      <w:r w:rsidR="00785F08">
        <w:rPr>
          <w:color w:val="000000"/>
        </w:rPr>
        <w:t>s</w:t>
      </w:r>
      <w:r w:rsidR="002924DD" w:rsidRPr="002C46B5">
        <w:rPr>
          <w:color w:val="000000"/>
        </w:rPr>
        <w:t xml:space="preserve"> for the proposal site</w:t>
      </w:r>
      <w:r w:rsidR="00CE64F6">
        <w:rPr>
          <w:color w:val="000000"/>
        </w:rPr>
        <w:t xml:space="preserve"> and these are described below;</w:t>
      </w:r>
    </w:p>
    <w:p w14:paraId="3CE61B67" w14:textId="77777777" w:rsidR="00CE64F6" w:rsidRDefault="00CE64F6" w:rsidP="00CE64F6">
      <w:pPr>
        <w:ind w:left="720"/>
        <w:rPr>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4045"/>
        <w:gridCol w:w="1701"/>
      </w:tblGrid>
      <w:tr w:rsidR="00CE64F6" w14:paraId="356573E3" w14:textId="77777777" w:rsidTr="007A5F49">
        <w:tc>
          <w:tcPr>
            <w:tcW w:w="2147" w:type="dxa"/>
            <w:shd w:val="clear" w:color="auto" w:fill="auto"/>
          </w:tcPr>
          <w:p w14:paraId="52568CEC" w14:textId="5D1E04A6" w:rsidR="00CE64F6" w:rsidRPr="007A5F49" w:rsidRDefault="00CE64F6" w:rsidP="00CE64F6">
            <w:pPr>
              <w:rPr>
                <w:b/>
                <w:bCs/>
                <w:color w:val="000000"/>
                <w:sz w:val="16"/>
                <w:szCs w:val="16"/>
              </w:rPr>
            </w:pPr>
            <w:r w:rsidRPr="007A5F49">
              <w:rPr>
                <w:b/>
                <w:bCs/>
                <w:color w:val="000000"/>
                <w:sz w:val="16"/>
                <w:szCs w:val="16"/>
              </w:rPr>
              <w:t>Planning reference</w:t>
            </w:r>
          </w:p>
        </w:tc>
        <w:tc>
          <w:tcPr>
            <w:tcW w:w="4045" w:type="dxa"/>
            <w:shd w:val="clear" w:color="auto" w:fill="auto"/>
          </w:tcPr>
          <w:p w14:paraId="5D691ED0" w14:textId="53D34D85" w:rsidR="00CE64F6" w:rsidRPr="007A5F49" w:rsidRDefault="00CE64F6" w:rsidP="00CE64F6">
            <w:pPr>
              <w:rPr>
                <w:b/>
                <w:bCs/>
                <w:color w:val="000000"/>
                <w:sz w:val="16"/>
                <w:szCs w:val="16"/>
              </w:rPr>
            </w:pPr>
            <w:r w:rsidRPr="007A5F49">
              <w:rPr>
                <w:b/>
                <w:bCs/>
                <w:color w:val="000000"/>
                <w:sz w:val="16"/>
                <w:szCs w:val="16"/>
              </w:rPr>
              <w:t>Description</w:t>
            </w:r>
          </w:p>
        </w:tc>
        <w:tc>
          <w:tcPr>
            <w:tcW w:w="1701" w:type="dxa"/>
            <w:shd w:val="clear" w:color="auto" w:fill="auto"/>
          </w:tcPr>
          <w:p w14:paraId="24CFECAD" w14:textId="703A8AED" w:rsidR="00CE64F6" w:rsidRPr="007A5F49" w:rsidRDefault="00CE64F6" w:rsidP="00CE64F6">
            <w:pPr>
              <w:rPr>
                <w:b/>
                <w:bCs/>
                <w:color w:val="000000"/>
                <w:sz w:val="16"/>
                <w:szCs w:val="16"/>
              </w:rPr>
            </w:pPr>
            <w:r w:rsidRPr="007A5F49">
              <w:rPr>
                <w:b/>
                <w:bCs/>
                <w:color w:val="000000"/>
                <w:sz w:val="16"/>
                <w:szCs w:val="16"/>
              </w:rPr>
              <w:t>Decision and date</w:t>
            </w:r>
          </w:p>
        </w:tc>
      </w:tr>
      <w:tr w:rsidR="00CE64F6" w14:paraId="372DC18C" w14:textId="77777777" w:rsidTr="007A5F49">
        <w:tc>
          <w:tcPr>
            <w:tcW w:w="2147" w:type="dxa"/>
            <w:shd w:val="clear" w:color="auto" w:fill="auto"/>
          </w:tcPr>
          <w:p w14:paraId="101BA010" w14:textId="0B01A4B3" w:rsidR="00CE64F6" w:rsidRPr="007A5F49" w:rsidRDefault="00CE64F6" w:rsidP="00CE64F6">
            <w:pPr>
              <w:rPr>
                <w:color w:val="000000"/>
                <w:sz w:val="16"/>
                <w:szCs w:val="16"/>
              </w:rPr>
            </w:pPr>
            <w:r w:rsidRPr="007A5F49">
              <w:rPr>
                <w:color w:val="000000"/>
                <w:sz w:val="16"/>
                <w:szCs w:val="16"/>
              </w:rPr>
              <w:t>98/00102/FUL</w:t>
            </w:r>
          </w:p>
        </w:tc>
        <w:tc>
          <w:tcPr>
            <w:tcW w:w="4045" w:type="dxa"/>
            <w:shd w:val="clear" w:color="auto" w:fill="auto"/>
          </w:tcPr>
          <w:p w14:paraId="0ED83C10" w14:textId="1DFB6F83" w:rsidR="00CE64F6" w:rsidRPr="007A5F49" w:rsidRDefault="00CE64F6" w:rsidP="00CE64F6">
            <w:pPr>
              <w:rPr>
                <w:color w:val="000000"/>
                <w:sz w:val="16"/>
                <w:szCs w:val="16"/>
              </w:rPr>
            </w:pPr>
            <w:r w:rsidRPr="007A5F49">
              <w:rPr>
                <w:color w:val="000000"/>
                <w:sz w:val="16"/>
                <w:szCs w:val="16"/>
              </w:rPr>
              <w:t>Alterations and extensions to erect a Garage</w:t>
            </w:r>
          </w:p>
        </w:tc>
        <w:tc>
          <w:tcPr>
            <w:tcW w:w="1701" w:type="dxa"/>
            <w:shd w:val="clear" w:color="auto" w:fill="auto"/>
          </w:tcPr>
          <w:p w14:paraId="709BD3FF" w14:textId="77777777" w:rsidR="00CE64F6" w:rsidRPr="007A5F49" w:rsidRDefault="007D5810" w:rsidP="00CE64F6">
            <w:pPr>
              <w:rPr>
                <w:color w:val="000000"/>
                <w:sz w:val="16"/>
                <w:szCs w:val="16"/>
              </w:rPr>
            </w:pPr>
            <w:r w:rsidRPr="007A5F49">
              <w:rPr>
                <w:color w:val="000000"/>
                <w:sz w:val="16"/>
                <w:szCs w:val="16"/>
              </w:rPr>
              <w:t>Approved</w:t>
            </w:r>
          </w:p>
          <w:p w14:paraId="1884F8C6" w14:textId="13A8C3A8" w:rsidR="007D5810" w:rsidRPr="007A5F49" w:rsidRDefault="007D5810" w:rsidP="00CE64F6">
            <w:pPr>
              <w:rPr>
                <w:color w:val="000000"/>
                <w:sz w:val="16"/>
                <w:szCs w:val="16"/>
              </w:rPr>
            </w:pPr>
            <w:r w:rsidRPr="007A5F49">
              <w:rPr>
                <w:color w:val="000000"/>
                <w:sz w:val="16"/>
                <w:szCs w:val="16"/>
              </w:rPr>
              <w:t>28.05.1998</w:t>
            </w:r>
          </w:p>
        </w:tc>
      </w:tr>
      <w:tr w:rsidR="00CE64F6" w14:paraId="0A0560CD" w14:textId="77777777" w:rsidTr="007A5F49">
        <w:tc>
          <w:tcPr>
            <w:tcW w:w="2147" w:type="dxa"/>
            <w:shd w:val="clear" w:color="auto" w:fill="auto"/>
          </w:tcPr>
          <w:p w14:paraId="20D4747D" w14:textId="65925E73" w:rsidR="00CE64F6" w:rsidRPr="007A5F49" w:rsidRDefault="00CE64F6" w:rsidP="00CE64F6">
            <w:pPr>
              <w:rPr>
                <w:color w:val="000000"/>
                <w:sz w:val="16"/>
                <w:szCs w:val="16"/>
              </w:rPr>
            </w:pPr>
            <w:r w:rsidRPr="007A5F49">
              <w:rPr>
                <w:color w:val="000000"/>
                <w:sz w:val="16"/>
                <w:szCs w:val="16"/>
              </w:rPr>
              <w:t>05/00594/FUL</w:t>
            </w:r>
          </w:p>
        </w:tc>
        <w:tc>
          <w:tcPr>
            <w:tcW w:w="4045" w:type="dxa"/>
            <w:shd w:val="clear" w:color="auto" w:fill="auto"/>
          </w:tcPr>
          <w:p w14:paraId="11859D61" w14:textId="479CFD72" w:rsidR="00CE64F6" w:rsidRPr="007A5F49" w:rsidRDefault="00CE64F6" w:rsidP="00CE64F6">
            <w:pPr>
              <w:rPr>
                <w:color w:val="000000"/>
                <w:sz w:val="16"/>
                <w:szCs w:val="16"/>
              </w:rPr>
            </w:pPr>
            <w:r w:rsidRPr="007A5F49">
              <w:rPr>
                <w:color w:val="000000"/>
                <w:sz w:val="16"/>
                <w:szCs w:val="16"/>
              </w:rPr>
              <w:t>Roof alterations and installation of 3 dormers</w:t>
            </w:r>
          </w:p>
        </w:tc>
        <w:tc>
          <w:tcPr>
            <w:tcW w:w="1701" w:type="dxa"/>
            <w:shd w:val="clear" w:color="auto" w:fill="auto"/>
          </w:tcPr>
          <w:p w14:paraId="2BEA877E" w14:textId="77777777" w:rsidR="00CE64F6" w:rsidRPr="007A5F49" w:rsidRDefault="007D5810" w:rsidP="00CE64F6">
            <w:pPr>
              <w:rPr>
                <w:color w:val="000000"/>
                <w:sz w:val="16"/>
                <w:szCs w:val="16"/>
              </w:rPr>
            </w:pPr>
            <w:r w:rsidRPr="007A5F49">
              <w:rPr>
                <w:color w:val="000000"/>
                <w:sz w:val="16"/>
                <w:szCs w:val="16"/>
              </w:rPr>
              <w:t>Approved</w:t>
            </w:r>
          </w:p>
          <w:p w14:paraId="4DF34E08" w14:textId="6D4F0C2C" w:rsidR="007D5810" w:rsidRPr="007A5F49" w:rsidRDefault="001B5555" w:rsidP="00CE64F6">
            <w:pPr>
              <w:rPr>
                <w:color w:val="000000"/>
                <w:sz w:val="16"/>
                <w:szCs w:val="16"/>
              </w:rPr>
            </w:pPr>
            <w:r>
              <w:rPr>
                <w:color w:val="000000"/>
                <w:sz w:val="16"/>
                <w:szCs w:val="16"/>
              </w:rPr>
              <w:t>26</w:t>
            </w:r>
            <w:r w:rsidR="007D5810" w:rsidRPr="007A5F49">
              <w:rPr>
                <w:color w:val="000000"/>
                <w:sz w:val="16"/>
                <w:szCs w:val="16"/>
              </w:rPr>
              <w:t>.</w:t>
            </w:r>
            <w:r>
              <w:rPr>
                <w:color w:val="000000"/>
                <w:sz w:val="16"/>
                <w:szCs w:val="16"/>
              </w:rPr>
              <w:t>10</w:t>
            </w:r>
            <w:r w:rsidR="007D5810" w:rsidRPr="007A5F49">
              <w:rPr>
                <w:color w:val="000000"/>
                <w:sz w:val="16"/>
                <w:szCs w:val="16"/>
              </w:rPr>
              <w:t>.20</w:t>
            </w:r>
            <w:r>
              <w:rPr>
                <w:color w:val="000000"/>
                <w:sz w:val="16"/>
                <w:szCs w:val="16"/>
              </w:rPr>
              <w:t>05</w:t>
            </w:r>
          </w:p>
        </w:tc>
      </w:tr>
      <w:tr w:rsidR="00CE64F6" w14:paraId="6059B3CD" w14:textId="77777777" w:rsidTr="007A5F49">
        <w:tc>
          <w:tcPr>
            <w:tcW w:w="2147" w:type="dxa"/>
            <w:shd w:val="clear" w:color="auto" w:fill="auto"/>
          </w:tcPr>
          <w:p w14:paraId="6841DE6A" w14:textId="07B11550" w:rsidR="00CE64F6" w:rsidRPr="007A5F49" w:rsidRDefault="00CE64F6" w:rsidP="00CE64F6">
            <w:pPr>
              <w:rPr>
                <w:color w:val="000000"/>
                <w:sz w:val="16"/>
                <w:szCs w:val="16"/>
              </w:rPr>
            </w:pPr>
            <w:r w:rsidRPr="007A5F49">
              <w:rPr>
                <w:color w:val="000000"/>
                <w:sz w:val="16"/>
                <w:szCs w:val="16"/>
              </w:rPr>
              <w:t>WP/14/01058/FUL</w:t>
            </w:r>
          </w:p>
        </w:tc>
        <w:tc>
          <w:tcPr>
            <w:tcW w:w="4045" w:type="dxa"/>
            <w:shd w:val="clear" w:color="auto" w:fill="auto"/>
          </w:tcPr>
          <w:p w14:paraId="41FE8A0F" w14:textId="2C74E779" w:rsidR="00CE64F6" w:rsidRPr="007A5F49" w:rsidRDefault="00CE64F6" w:rsidP="00CE64F6">
            <w:pPr>
              <w:rPr>
                <w:color w:val="000000"/>
                <w:sz w:val="16"/>
                <w:szCs w:val="16"/>
              </w:rPr>
            </w:pPr>
            <w:r w:rsidRPr="007A5F49">
              <w:rPr>
                <w:color w:val="000000"/>
                <w:sz w:val="16"/>
                <w:szCs w:val="16"/>
              </w:rPr>
              <w:t>Construct a single-storey dwelling for family use and to the benefit of the existing property</w:t>
            </w:r>
          </w:p>
        </w:tc>
        <w:tc>
          <w:tcPr>
            <w:tcW w:w="1701" w:type="dxa"/>
            <w:shd w:val="clear" w:color="auto" w:fill="auto"/>
          </w:tcPr>
          <w:p w14:paraId="372DD5B5" w14:textId="77777777" w:rsidR="00CE64F6" w:rsidRPr="007A5F49" w:rsidRDefault="00CE64F6" w:rsidP="00CE64F6">
            <w:pPr>
              <w:rPr>
                <w:color w:val="000000"/>
                <w:sz w:val="16"/>
                <w:szCs w:val="16"/>
              </w:rPr>
            </w:pPr>
            <w:r w:rsidRPr="007A5F49">
              <w:rPr>
                <w:color w:val="000000"/>
                <w:sz w:val="16"/>
                <w:szCs w:val="16"/>
              </w:rPr>
              <w:t xml:space="preserve">Refused </w:t>
            </w:r>
          </w:p>
          <w:p w14:paraId="5D033D76" w14:textId="1881780B" w:rsidR="00CE64F6" w:rsidRPr="007A5F49" w:rsidRDefault="00CE64F6" w:rsidP="00CE64F6">
            <w:pPr>
              <w:rPr>
                <w:color w:val="000000"/>
                <w:sz w:val="16"/>
                <w:szCs w:val="16"/>
              </w:rPr>
            </w:pPr>
            <w:r w:rsidRPr="007A5F49">
              <w:rPr>
                <w:color w:val="000000"/>
                <w:sz w:val="16"/>
                <w:szCs w:val="16"/>
              </w:rPr>
              <w:t>03.03.2015</w:t>
            </w:r>
          </w:p>
        </w:tc>
      </w:tr>
      <w:tr w:rsidR="00CE64F6" w14:paraId="6FCEF0DA" w14:textId="77777777" w:rsidTr="007A5F49">
        <w:tc>
          <w:tcPr>
            <w:tcW w:w="2147" w:type="dxa"/>
            <w:shd w:val="clear" w:color="auto" w:fill="auto"/>
          </w:tcPr>
          <w:p w14:paraId="64A21EC3" w14:textId="2A72B458" w:rsidR="00CE64F6" w:rsidRPr="007A5F49" w:rsidRDefault="00CE64F6" w:rsidP="00CE64F6">
            <w:pPr>
              <w:rPr>
                <w:color w:val="000000"/>
                <w:sz w:val="16"/>
                <w:szCs w:val="16"/>
              </w:rPr>
            </w:pPr>
            <w:r w:rsidRPr="007A5F49">
              <w:rPr>
                <w:color w:val="000000"/>
                <w:sz w:val="16"/>
                <w:szCs w:val="16"/>
              </w:rPr>
              <w:t>WP/15/00563/FUL</w:t>
            </w:r>
          </w:p>
        </w:tc>
        <w:tc>
          <w:tcPr>
            <w:tcW w:w="4045" w:type="dxa"/>
            <w:shd w:val="clear" w:color="auto" w:fill="auto"/>
          </w:tcPr>
          <w:p w14:paraId="3A82FE99" w14:textId="538E4578" w:rsidR="00CE64F6" w:rsidRPr="007A5F49" w:rsidRDefault="00CE64F6" w:rsidP="00CE64F6">
            <w:pPr>
              <w:rPr>
                <w:color w:val="000000"/>
                <w:sz w:val="16"/>
                <w:szCs w:val="16"/>
              </w:rPr>
            </w:pPr>
            <w:r w:rsidRPr="007A5F49">
              <w:rPr>
                <w:color w:val="000000"/>
                <w:sz w:val="16"/>
                <w:szCs w:val="16"/>
              </w:rPr>
              <w:t>Construct a single-storey dwelling for family use and to the benefit of the existing property</w:t>
            </w:r>
          </w:p>
        </w:tc>
        <w:tc>
          <w:tcPr>
            <w:tcW w:w="1701" w:type="dxa"/>
            <w:shd w:val="clear" w:color="auto" w:fill="auto"/>
          </w:tcPr>
          <w:p w14:paraId="6924FB4E" w14:textId="77777777" w:rsidR="00CE64F6" w:rsidRPr="007A5F49" w:rsidRDefault="00CE64F6" w:rsidP="00CE64F6">
            <w:pPr>
              <w:rPr>
                <w:color w:val="000000"/>
                <w:sz w:val="16"/>
                <w:szCs w:val="16"/>
              </w:rPr>
            </w:pPr>
            <w:r w:rsidRPr="007A5F49">
              <w:rPr>
                <w:color w:val="000000"/>
                <w:sz w:val="16"/>
                <w:szCs w:val="16"/>
              </w:rPr>
              <w:t>Approved</w:t>
            </w:r>
          </w:p>
          <w:p w14:paraId="4E6E12AA" w14:textId="491E3AC8" w:rsidR="007D5810" w:rsidRPr="007A5F49" w:rsidRDefault="007D5810" w:rsidP="00CE64F6">
            <w:pPr>
              <w:rPr>
                <w:color w:val="000000"/>
                <w:sz w:val="16"/>
                <w:szCs w:val="16"/>
              </w:rPr>
            </w:pPr>
            <w:r w:rsidRPr="007A5F49">
              <w:rPr>
                <w:color w:val="000000"/>
                <w:sz w:val="16"/>
                <w:szCs w:val="16"/>
              </w:rPr>
              <w:t>01.10.2015</w:t>
            </w:r>
          </w:p>
        </w:tc>
      </w:tr>
      <w:tr w:rsidR="00CE64F6" w14:paraId="66DBA0C0" w14:textId="77777777" w:rsidTr="007A5F49">
        <w:tc>
          <w:tcPr>
            <w:tcW w:w="2147" w:type="dxa"/>
            <w:shd w:val="clear" w:color="auto" w:fill="auto"/>
          </w:tcPr>
          <w:p w14:paraId="36879ADC" w14:textId="2E311EAB" w:rsidR="00CE64F6" w:rsidRPr="007A5F49" w:rsidRDefault="00CE64F6" w:rsidP="00CE64F6">
            <w:pPr>
              <w:rPr>
                <w:color w:val="000000"/>
                <w:sz w:val="16"/>
                <w:szCs w:val="16"/>
              </w:rPr>
            </w:pPr>
            <w:r w:rsidRPr="007A5F49">
              <w:rPr>
                <w:color w:val="000000"/>
                <w:sz w:val="16"/>
                <w:szCs w:val="16"/>
              </w:rPr>
              <w:t>WP/16/00279/NMA</w:t>
            </w:r>
          </w:p>
        </w:tc>
        <w:tc>
          <w:tcPr>
            <w:tcW w:w="4045" w:type="dxa"/>
            <w:shd w:val="clear" w:color="auto" w:fill="auto"/>
          </w:tcPr>
          <w:p w14:paraId="0B4CB587" w14:textId="46A91DBC" w:rsidR="00CE64F6" w:rsidRPr="007A5F49" w:rsidRDefault="00CE64F6" w:rsidP="00CE64F6">
            <w:pPr>
              <w:rPr>
                <w:color w:val="000000"/>
                <w:sz w:val="16"/>
                <w:szCs w:val="16"/>
              </w:rPr>
            </w:pPr>
            <w:r w:rsidRPr="007A5F49">
              <w:rPr>
                <w:color w:val="000000"/>
                <w:sz w:val="16"/>
                <w:szCs w:val="16"/>
              </w:rPr>
              <w:t>Material change from double-glazed timber to PVC-u</w:t>
            </w:r>
          </w:p>
        </w:tc>
        <w:tc>
          <w:tcPr>
            <w:tcW w:w="1701" w:type="dxa"/>
            <w:shd w:val="clear" w:color="auto" w:fill="auto"/>
          </w:tcPr>
          <w:p w14:paraId="072EC1CF" w14:textId="77777777" w:rsidR="00CE64F6" w:rsidRPr="007A5F49" w:rsidRDefault="00CE64F6" w:rsidP="00CE64F6">
            <w:pPr>
              <w:rPr>
                <w:color w:val="000000"/>
                <w:sz w:val="16"/>
                <w:szCs w:val="16"/>
              </w:rPr>
            </w:pPr>
            <w:r w:rsidRPr="007A5F49">
              <w:rPr>
                <w:color w:val="000000"/>
                <w:sz w:val="16"/>
                <w:szCs w:val="16"/>
              </w:rPr>
              <w:t>Approved</w:t>
            </w:r>
          </w:p>
          <w:p w14:paraId="18DCBA16" w14:textId="48C4CC43" w:rsidR="00CE64F6" w:rsidRPr="007A5F49" w:rsidRDefault="00CE64F6" w:rsidP="00CE64F6">
            <w:pPr>
              <w:rPr>
                <w:color w:val="000000"/>
                <w:sz w:val="16"/>
                <w:szCs w:val="16"/>
              </w:rPr>
            </w:pPr>
            <w:r w:rsidRPr="007A5F49">
              <w:rPr>
                <w:color w:val="000000"/>
                <w:sz w:val="16"/>
                <w:szCs w:val="16"/>
              </w:rPr>
              <w:t>25.05.2016</w:t>
            </w:r>
          </w:p>
        </w:tc>
      </w:tr>
      <w:tr w:rsidR="00CE64F6" w14:paraId="581FA3BE" w14:textId="77777777" w:rsidTr="007A5F49">
        <w:tc>
          <w:tcPr>
            <w:tcW w:w="2147" w:type="dxa"/>
            <w:shd w:val="clear" w:color="auto" w:fill="auto"/>
          </w:tcPr>
          <w:p w14:paraId="3D933CC5" w14:textId="7E10CFF1" w:rsidR="00CE64F6" w:rsidRPr="007A5F49" w:rsidRDefault="00CE64F6" w:rsidP="00CE64F6">
            <w:pPr>
              <w:rPr>
                <w:color w:val="000000"/>
                <w:sz w:val="16"/>
                <w:szCs w:val="16"/>
              </w:rPr>
            </w:pPr>
            <w:r w:rsidRPr="007A5F49">
              <w:rPr>
                <w:color w:val="000000"/>
                <w:sz w:val="16"/>
                <w:szCs w:val="16"/>
              </w:rPr>
              <w:t>WP/15/00563/FUL</w:t>
            </w:r>
          </w:p>
        </w:tc>
        <w:tc>
          <w:tcPr>
            <w:tcW w:w="4045" w:type="dxa"/>
            <w:shd w:val="clear" w:color="auto" w:fill="auto"/>
          </w:tcPr>
          <w:p w14:paraId="548F21AA" w14:textId="46C6224C" w:rsidR="00CE64F6" w:rsidRPr="007A5F49" w:rsidRDefault="00CE64F6" w:rsidP="00CE64F6">
            <w:pPr>
              <w:rPr>
                <w:color w:val="000000"/>
                <w:sz w:val="16"/>
                <w:szCs w:val="16"/>
              </w:rPr>
            </w:pPr>
            <w:r w:rsidRPr="007A5F49">
              <w:rPr>
                <w:color w:val="000000"/>
                <w:sz w:val="16"/>
                <w:szCs w:val="16"/>
              </w:rPr>
              <w:t>Request for compliance of condition 3</w:t>
            </w:r>
          </w:p>
        </w:tc>
        <w:tc>
          <w:tcPr>
            <w:tcW w:w="1701" w:type="dxa"/>
            <w:shd w:val="clear" w:color="auto" w:fill="auto"/>
          </w:tcPr>
          <w:p w14:paraId="29E85770" w14:textId="77777777" w:rsidR="00CE64F6" w:rsidRPr="007A5F49" w:rsidRDefault="00CE64F6" w:rsidP="00CE64F6">
            <w:pPr>
              <w:rPr>
                <w:color w:val="000000"/>
                <w:sz w:val="16"/>
                <w:szCs w:val="16"/>
              </w:rPr>
            </w:pPr>
            <w:r w:rsidRPr="007A5F49">
              <w:rPr>
                <w:color w:val="000000"/>
                <w:sz w:val="16"/>
                <w:szCs w:val="16"/>
              </w:rPr>
              <w:t>Approved</w:t>
            </w:r>
          </w:p>
          <w:p w14:paraId="120B5745" w14:textId="2FDF33E6" w:rsidR="00CE64F6" w:rsidRPr="007A5F49" w:rsidRDefault="007D5810" w:rsidP="00CE64F6">
            <w:pPr>
              <w:rPr>
                <w:color w:val="000000"/>
                <w:sz w:val="16"/>
                <w:szCs w:val="16"/>
              </w:rPr>
            </w:pPr>
            <w:r w:rsidRPr="007A5F49">
              <w:rPr>
                <w:color w:val="000000"/>
                <w:sz w:val="16"/>
                <w:szCs w:val="16"/>
              </w:rPr>
              <w:t>22.09.2016</w:t>
            </w:r>
          </w:p>
        </w:tc>
      </w:tr>
    </w:tbl>
    <w:p w14:paraId="6F8876F3" w14:textId="77777777" w:rsidR="002C46B5" w:rsidRDefault="002C46B5" w:rsidP="00785F08">
      <w:pPr>
        <w:rPr>
          <w:color w:val="000000"/>
        </w:rPr>
      </w:pPr>
    </w:p>
    <w:p w14:paraId="799B48E5" w14:textId="7A699821" w:rsidR="00BB4EAB" w:rsidRPr="00500943" w:rsidRDefault="007D5810" w:rsidP="00BB4EAB">
      <w:pPr>
        <w:numPr>
          <w:ilvl w:val="2"/>
          <w:numId w:val="16"/>
        </w:numPr>
        <w:rPr>
          <w:b/>
          <w:bCs/>
          <w:color w:val="000000"/>
        </w:rPr>
      </w:pPr>
      <w:r>
        <w:t>The site is located to the north-east of Ridgeway House, North of Dorchester Road. Badger</w:t>
      </w:r>
      <w:r w:rsidR="001B5555">
        <w:t>s</w:t>
      </w:r>
      <w:r>
        <w:t xml:space="preserve"> Cliff being a single detached t</w:t>
      </w:r>
      <w:r w:rsidR="001B5555">
        <w:t>hree</w:t>
      </w:r>
      <w:r>
        <w:t xml:space="preserve"> storey dwelling. The site is within the ownership of our Client, but this is marginally outside the original dwelling curtilage. </w:t>
      </w:r>
      <w:r w:rsidR="001B5555">
        <w:t xml:space="preserve"> </w:t>
      </w:r>
      <w:r>
        <w:t xml:space="preserve">Part of the site is within the Upwey Conservation Area, adjacent to a Site of Special Scientific Interest (Upwey quarries SSSI) and the Area of Outstanding Natural Beauty (AONB). </w:t>
      </w:r>
      <w:r w:rsidRPr="00500943">
        <w:rPr>
          <w:b/>
          <w:bCs/>
        </w:rPr>
        <w:t xml:space="preserve">The location of the annex lies only </w:t>
      </w:r>
      <w:r w:rsidR="0022503C" w:rsidRPr="00500943">
        <w:rPr>
          <w:b/>
          <w:bCs/>
        </w:rPr>
        <w:t>7</w:t>
      </w:r>
      <w:r w:rsidRPr="00500943">
        <w:rPr>
          <w:b/>
          <w:bCs/>
        </w:rPr>
        <w:t xml:space="preserve"> metres outside the Defined Development Boundary.</w:t>
      </w:r>
    </w:p>
    <w:p w14:paraId="304F20ED" w14:textId="66AEE4D5" w:rsidR="007D5810" w:rsidRDefault="007D5810" w:rsidP="007D5810">
      <w:pPr>
        <w:ind w:left="720"/>
      </w:pPr>
    </w:p>
    <w:p w14:paraId="4AB4A966" w14:textId="77777777" w:rsidR="0022503C" w:rsidRDefault="0022503C" w:rsidP="007D5810">
      <w:pPr>
        <w:ind w:left="720"/>
      </w:pPr>
      <w:r>
        <w:t>The s</w:t>
      </w:r>
      <w:r w:rsidR="007D5810">
        <w:t>ite is within the South Dorset Escarpment LCA Upwey Conservation Area</w:t>
      </w:r>
      <w:r>
        <w:t>.</w:t>
      </w:r>
    </w:p>
    <w:p w14:paraId="645E7C4B" w14:textId="77777777" w:rsidR="0022503C" w:rsidRDefault="007D5810" w:rsidP="007D5810">
      <w:pPr>
        <w:ind w:left="720"/>
      </w:pPr>
      <w:r>
        <w:t xml:space="preserve">Upwey is located at the head of the River Wey, which runs southwards from the foot of the Ridgeway escarpment. It is a linear settlement, extending for approximately one mile along the floor of the narrow, wellwooded valley. Farmland and tree belts on the upper slopes of the eastern side of the valley create a distinct visual and physical separation between the village and the ribbon of suburban development along the Dorchester Road. </w:t>
      </w:r>
    </w:p>
    <w:p w14:paraId="1DD2A82E" w14:textId="77777777" w:rsidR="0022503C" w:rsidRDefault="0022503C" w:rsidP="007D5810">
      <w:pPr>
        <w:ind w:left="720"/>
      </w:pPr>
    </w:p>
    <w:p w14:paraId="6CB33497" w14:textId="77777777" w:rsidR="0022503C" w:rsidRDefault="007D5810" w:rsidP="007D5810">
      <w:pPr>
        <w:ind w:left="720"/>
      </w:pPr>
      <w:r>
        <w:t>The heavily wooded western slopes of the upper Wey Valley also emphasise the rural character of the Conservation Area. The settlement can be divided into three distinct areas: firstly the area around the C15th Church of St Lawrence and the Victorian School (now a community hall); secondly Elwell street (mainly C19th buildings) and the Roman Road; and thirdly the area around the C17th Upwey Manor extending into Stottingway Street. Although each is distinct</w:t>
      </w:r>
      <w:r w:rsidR="0022503C">
        <w:t>,</w:t>
      </w:r>
      <w:r>
        <w:t xml:space="preserve"> they are strongly linked and characterised by the sense of enclosure created by the valley slopes, the river, tree belts high stone walls, and common use of the local stone building materials. In between these "core" areas can be found small groups of individual buildings separated by countryside, which extends down to Church Street.</w:t>
      </w:r>
    </w:p>
    <w:p w14:paraId="32438AAE" w14:textId="77777777" w:rsidR="0022503C" w:rsidRDefault="0022503C" w:rsidP="007D5810">
      <w:pPr>
        <w:ind w:left="720"/>
      </w:pPr>
    </w:p>
    <w:p w14:paraId="1B70EA5E" w14:textId="77777777" w:rsidR="0022503C" w:rsidRDefault="007D5810" w:rsidP="007D5810">
      <w:pPr>
        <w:ind w:left="720"/>
      </w:pPr>
      <w:r>
        <w:t xml:space="preserve">These "gaps" are an important and integral part of the Upwey Conservation Area and establish its essentially rural character. Many of the buildings within the Conservation Area are included in the statutory list of buildings of architectural or historic importance. Common use of the local Ridgeway Limestone in the construction of buildings and walls, and slate or thatch for roofing materials creates a sense of harmony so that, with few exceptions, even those buildings that are not listed make a significant contribution to the architectural character of the area. </w:t>
      </w:r>
    </w:p>
    <w:p w14:paraId="6E3BF27B" w14:textId="77777777" w:rsidR="0022503C" w:rsidRDefault="0022503C" w:rsidP="007D5810">
      <w:pPr>
        <w:ind w:left="720"/>
      </w:pPr>
    </w:p>
    <w:p w14:paraId="7B781BEB" w14:textId="77777777" w:rsidR="0022503C" w:rsidRDefault="0022503C" w:rsidP="007D5810">
      <w:pPr>
        <w:ind w:left="720"/>
      </w:pPr>
    </w:p>
    <w:p w14:paraId="6380846E" w14:textId="77777777" w:rsidR="0022503C" w:rsidRDefault="0022503C" w:rsidP="007D5810">
      <w:pPr>
        <w:ind w:left="720"/>
      </w:pPr>
    </w:p>
    <w:p w14:paraId="4EF21671" w14:textId="77777777" w:rsidR="0022503C" w:rsidRDefault="0022503C" w:rsidP="007D5810">
      <w:pPr>
        <w:ind w:left="720"/>
      </w:pPr>
    </w:p>
    <w:p w14:paraId="5E8DBD2F" w14:textId="5465581C" w:rsidR="007D5810" w:rsidRPr="007D5810" w:rsidRDefault="007D5810" w:rsidP="007D5810">
      <w:pPr>
        <w:ind w:left="720"/>
        <w:rPr>
          <w:color w:val="000000"/>
        </w:rPr>
      </w:pPr>
      <w:r>
        <w:lastRenderedPageBreak/>
        <w:t>The wooded valley slopes and numerous mature trees within the village create an impressive setting for the buildings, and it is important, therefore, that they be retained. Similarly, the open area of fields between Upwey and the Dorchester Road and the open nature of the high scarp face to the north are essential to preserving the individual, rural charm of the valley settlement.</w:t>
      </w:r>
    </w:p>
    <w:p w14:paraId="6588704A" w14:textId="77777777" w:rsidR="007D5810" w:rsidRPr="007D5810" w:rsidRDefault="007D5810" w:rsidP="007D5810">
      <w:pPr>
        <w:rPr>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215"/>
      </w:tblGrid>
      <w:tr w:rsidR="00B0420B" w:rsidRPr="00BD7D84" w14:paraId="4927B616" w14:textId="77777777" w:rsidTr="00BD7D84">
        <w:tc>
          <w:tcPr>
            <w:tcW w:w="851" w:type="dxa"/>
            <w:tcBorders>
              <w:top w:val="nil"/>
              <w:left w:val="nil"/>
              <w:bottom w:val="nil"/>
              <w:right w:val="nil"/>
            </w:tcBorders>
            <w:shd w:val="clear" w:color="auto" w:fill="auto"/>
          </w:tcPr>
          <w:p w14:paraId="5548726D" w14:textId="77777777" w:rsidR="00B0420B" w:rsidRPr="00BD7D84" w:rsidRDefault="00873BED" w:rsidP="00BD7D84">
            <w:pPr>
              <w:rPr>
                <w:b/>
                <w:color w:val="000000"/>
              </w:rPr>
            </w:pPr>
            <w:r w:rsidRPr="00BD7D84">
              <w:rPr>
                <w:b/>
                <w:color w:val="000000"/>
              </w:rPr>
              <w:t>2.0.</w:t>
            </w:r>
          </w:p>
        </w:tc>
        <w:tc>
          <w:tcPr>
            <w:tcW w:w="8425" w:type="dxa"/>
            <w:tcBorders>
              <w:top w:val="nil"/>
              <w:left w:val="nil"/>
              <w:bottom w:val="nil"/>
              <w:right w:val="nil"/>
            </w:tcBorders>
            <w:shd w:val="clear" w:color="auto" w:fill="auto"/>
          </w:tcPr>
          <w:p w14:paraId="575A958A" w14:textId="77777777" w:rsidR="00B0420B" w:rsidRPr="00BD7D84" w:rsidRDefault="00873BED" w:rsidP="00BD7D84">
            <w:pPr>
              <w:rPr>
                <w:b/>
                <w:color w:val="000000"/>
              </w:rPr>
            </w:pPr>
            <w:r w:rsidRPr="00BD7D84">
              <w:rPr>
                <w:b/>
                <w:color w:val="000000"/>
              </w:rPr>
              <w:t>THE PROPOSED WORKS</w:t>
            </w:r>
          </w:p>
        </w:tc>
      </w:tr>
      <w:tr w:rsidR="00B0420B" w:rsidRPr="00BD7D84" w14:paraId="725BE3F2" w14:textId="77777777" w:rsidTr="00BD7D84">
        <w:tc>
          <w:tcPr>
            <w:tcW w:w="851" w:type="dxa"/>
            <w:tcBorders>
              <w:top w:val="nil"/>
              <w:left w:val="nil"/>
              <w:bottom w:val="nil"/>
              <w:right w:val="nil"/>
            </w:tcBorders>
            <w:shd w:val="clear" w:color="auto" w:fill="auto"/>
          </w:tcPr>
          <w:p w14:paraId="13813380" w14:textId="77777777" w:rsidR="00B0420B" w:rsidRPr="00BD7D84" w:rsidRDefault="00B0420B" w:rsidP="00BD7D84">
            <w:pPr>
              <w:rPr>
                <w:color w:val="000000"/>
              </w:rPr>
            </w:pPr>
          </w:p>
        </w:tc>
        <w:tc>
          <w:tcPr>
            <w:tcW w:w="8425" w:type="dxa"/>
            <w:tcBorders>
              <w:top w:val="nil"/>
              <w:left w:val="nil"/>
              <w:bottom w:val="nil"/>
              <w:right w:val="nil"/>
            </w:tcBorders>
            <w:shd w:val="clear" w:color="auto" w:fill="auto"/>
          </w:tcPr>
          <w:p w14:paraId="5EA1703E" w14:textId="77777777" w:rsidR="00B0420B" w:rsidRPr="00BD7D84" w:rsidRDefault="00B0420B" w:rsidP="00BD7D84">
            <w:pPr>
              <w:rPr>
                <w:color w:val="000000"/>
              </w:rPr>
            </w:pPr>
          </w:p>
        </w:tc>
      </w:tr>
      <w:tr w:rsidR="00B0420B" w:rsidRPr="00BD7D84" w14:paraId="628EF355" w14:textId="77777777" w:rsidTr="00BD7D84">
        <w:tc>
          <w:tcPr>
            <w:tcW w:w="851" w:type="dxa"/>
            <w:tcBorders>
              <w:top w:val="nil"/>
              <w:left w:val="nil"/>
              <w:bottom w:val="nil"/>
              <w:right w:val="nil"/>
            </w:tcBorders>
            <w:shd w:val="clear" w:color="auto" w:fill="auto"/>
          </w:tcPr>
          <w:p w14:paraId="3B438F18" w14:textId="77777777" w:rsidR="00B0420B" w:rsidRDefault="00873BED" w:rsidP="00BD7D84">
            <w:pPr>
              <w:rPr>
                <w:color w:val="000000"/>
              </w:rPr>
            </w:pPr>
            <w:r w:rsidRPr="00BD7D84">
              <w:rPr>
                <w:color w:val="000000"/>
              </w:rPr>
              <w:t>2.0.1</w:t>
            </w:r>
          </w:p>
          <w:p w14:paraId="778114D4" w14:textId="77777777" w:rsidR="0022503C" w:rsidRDefault="0022503C" w:rsidP="00BD7D84">
            <w:pPr>
              <w:rPr>
                <w:color w:val="000000"/>
              </w:rPr>
            </w:pPr>
          </w:p>
          <w:p w14:paraId="2C1536B2" w14:textId="77777777" w:rsidR="0022503C" w:rsidRDefault="0022503C" w:rsidP="00BD7D84">
            <w:pPr>
              <w:rPr>
                <w:color w:val="000000"/>
              </w:rPr>
            </w:pPr>
          </w:p>
          <w:p w14:paraId="631F3A7A" w14:textId="77777777" w:rsidR="0022503C" w:rsidRDefault="0022503C" w:rsidP="00BD7D84">
            <w:pPr>
              <w:rPr>
                <w:color w:val="000000"/>
              </w:rPr>
            </w:pPr>
          </w:p>
          <w:p w14:paraId="3EC45809" w14:textId="77777777" w:rsidR="0022503C" w:rsidRDefault="0022503C" w:rsidP="00BD7D84">
            <w:pPr>
              <w:rPr>
                <w:color w:val="000000"/>
              </w:rPr>
            </w:pPr>
          </w:p>
          <w:p w14:paraId="5A5562DB" w14:textId="77777777" w:rsidR="0022503C" w:rsidRDefault="0022503C" w:rsidP="00BD7D84">
            <w:pPr>
              <w:rPr>
                <w:color w:val="000000"/>
              </w:rPr>
            </w:pPr>
            <w:r>
              <w:rPr>
                <w:color w:val="000000"/>
              </w:rPr>
              <w:t>2.0.2</w:t>
            </w:r>
          </w:p>
          <w:p w14:paraId="571A247C" w14:textId="77777777" w:rsidR="0022503C" w:rsidRDefault="0022503C" w:rsidP="00BD7D84">
            <w:pPr>
              <w:rPr>
                <w:color w:val="000000"/>
              </w:rPr>
            </w:pPr>
          </w:p>
          <w:p w14:paraId="2BDFD1F3" w14:textId="77777777" w:rsidR="0022503C" w:rsidRDefault="0022503C" w:rsidP="00BD7D84">
            <w:pPr>
              <w:rPr>
                <w:color w:val="000000"/>
              </w:rPr>
            </w:pPr>
          </w:p>
          <w:p w14:paraId="682BBF31" w14:textId="77777777" w:rsidR="0022503C" w:rsidRDefault="0022503C" w:rsidP="00BD7D84">
            <w:pPr>
              <w:rPr>
                <w:color w:val="000000"/>
              </w:rPr>
            </w:pPr>
          </w:p>
          <w:p w14:paraId="0D642C78" w14:textId="77777777" w:rsidR="0022503C" w:rsidRDefault="0022503C" w:rsidP="00BD7D84">
            <w:pPr>
              <w:rPr>
                <w:color w:val="000000"/>
              </w:rPr>
            </w:pPr>
          </w:p>
          <w:p w14:paraId="5231821A" w14:textId="77777777" w:rsidR="0022503C" w:rsidRDefault="0022503C" w:rsidP="00BD7D84">
            <w:pPr>
              <w:rPr>
                <w:color w:val="000000"/>
              </w:rPr>
            </w:pPr>
          </w:p>
          <w:p w14:paraId="032ED6DD" w14:textId="4E31F06B" w:rsidR="0022503C" w:rsidRDefault="0022503C" w:rsidP="00BD7D84">
            <w:pPr>
              <w:rPr>
                <w:color w:val="000000"/>
              </w:rPr>
            </w:pPr>
          </w:p>
          <w:p w14:paraId="6CE12451" w14:textId="77777777" w:rsidR="0022503C" w:rsidRDefault="0022503C" w:rsidP="00BD7D84">
            <w:pPr>
              <w:rPr>
                <w:color w:val="000000"/>
              </w:rPr>
            </w:pPr>
          </w:p>
          <w:p w14:paraId="4072C280" w14:textId="77777777" w:rsidR="0022503C" w:rsidRDefault="0022503C" w:rsidP="00BD7D84">
            <w:pPr>
              <w:rPr>
                <w:color w:val="000000"/>
              </w:rPr>
            </w:pPr>
            <w:r>
              <w:rPr>
                <w:color w:val="000000"/>
              </w:rPr>
              <w:t>2.0.3</w:t>
            </w:r>
          </w:p>
          <w:p w14:paraId="4638CCAF" w14:textId="77777777" w:rsidR="0022503C" w:rsidRDefault="0022503C" w:rsidP="00BD7D84">
            <w:pPr>
              <w:rPr>
                <w:color w:val="000000"/>
              </w:rPr>
            </w:pPr>
          </w:p>
          <w:p w14:paraId="0CD00A9A" w14:textId="77777777" w:rsidR="0022503C" w:rsidRDefault="0022503C" w:rsidP="00BD7D84">
            <w:pPr>
              <w:rPr>
                <w:color w:val="000000"/>
              </w:rPr>
            </w:pPr>
          </w:p>
          <w:p w14:paraId="64CD357B" w14:textId="77777777" w:rsidR="0022503C" w:rsidRDefault="0022503C" w:rsidP="00BD7D84">
            <w:pPr>
              <w:rPr>
                <w:color w:val="000000"/>
              </w:rPr>
            </w:pPr>
          </w:p>
          <w:p w14:paraId="4C6A7476" w14:textId="63E45814" w:rsidR="0022503C" w:rsidRDefault="0022503C" w:rsidP="00BD7D84">
            <w:pPr>
              <w:rPr>
                <w:color w:val="000000"/>
              </w:rPr>
            </w:pPr>
          </w:p>
          <w:p w14:paraId="4A13E6C2" w14:textId="7888851A" w:rsidR="003A6D7A" w:rsidRDefault="003A6D7A" w:rsidP="00BD7D84">
            <w:pPr>
              <w:rPr>
                <w:color w:val="000000"/>
              </w:rPr>
            </w:pPr>
          </w:p>
          <w:p w14:paraId="2867347A" w14:textId="1A54F3E1" w:rsidR="003A6D7A" w:rsidRDefault="003A6D7A" w:rsidP="00BD7D84">
            <w:pPr>
              <w:rPr>
                <w:color w:val="000000"/>
              </w:rPr>
            </w:pPr>
          </w:p>
          <w:p w14:paraId="481CC41F" w14:textId="129CBABF" w:rsidR="003A6D7A" w:rsidRDefault="003A6D7A" w:rsidP="00BD7D84">
            <w:pPr>
              <w:rPr>
                <w:color w:val="000000"/>
              </w:rPr>
            </w:pPr>
          </w:p>
          <w:p w14:paraId="21B4F0EE" w14:textId="358B8F23" w:rsidR="003A6D7A" w:rsidRDefault="003A6D7A" w:rsidP="00BD7D84">
            <w:pPr>
              <w:rPr>
                <w:color w:val="000000"/>
              </w:rPr>
            </w:pPr>
          </w:p>
          <w:p w14:paraId="45FEFFCA" w14:textId="62A7CC8F" w:rsidR="003A6D7A" w:rsidRDefault="003A6D7A" w:rsidP="00BD7D84">
            <w:pPr>
              <w:rPr>
                <w:color w:val="000000"/>
              </w:rPr>
            </w:pPr>
          </w:p>
          <w:p w14:paraId="5A5F8488" w14:textId="1D6C358B" w:rsidR="003A6D7A" w:rsidRDefault="003A6D7A" w:rsidP="00BD7D84">
            <w:pPr>
              <w:rPr>
                <w:color w:val="000000"/>
              </w:rPr>
            </w:pPr>
          </w:p>
          <w:p w14:paraId="5B4ECAB2" w14:textId="78C2E727" w:rsidR="003A6D7A" w:rsidRDefault="003A6D7A" w:rsidP="00BD7D84">
            <w:pPr>
              <w:rPr>
                <w:color w:val="000000"/>
              </w:rPr>
            </w:pPr>
          </w:p>
          <w:p w14:paraId="682AB0DC" w14:textId="48CFE520" w:rsidR="003A6D7A" w:rsidRDefault="003A6D7A" w:rsidP="00BD7D84">
            <w:pPr>
              <w:rPr>
                <w:color w:val="000000"/>
              </w:rPr>
            </w:pPr>
          </w:p>
          <w:p w14:paraId="6A95EA78" w14:textId="1450E260" w:rsidR="003A6D7A" w:rsidRDefault="003A6D7A" w:rsidP="00BD7D84">
            <w:pPr>
              <w:rPr>
                <w:color w:val="000000"/>
              </w:rPr>
            </w:pPr>
          </w:p>
          <w:p w14:paraId="7E093C1C" w14:textId="43540A10" w:rsidR="003A6D7A" w:rsidRDefault="003A6D7A" w:rsidP="00BD7D84">
            <w:pPr>
              <w:rPr>
                <w:color w:val="000000"/>
              </w:rPr>
            </w:pPr>
          </w:p>
          <w:p w14:paraId="0A12E673" w14:textId="121F8D11" w:rsidR="003A6D7A" w:rsidRDefault="003A6D7A" w:rsidP="00BD7D84">
            <w:pPr>
              <w:rPr>
                <w:color w:val="000000"/>
              </w:rPr>
            </w:pPr>
          </w:p>
          <w:p w14:paraId="5F737CFF" w14:textId="6C8F28D6" w:rsidR="003A6D7A" w:rsidRDefault="003A6D7A" w:rsidP="00BD7D84">
            <w:pPr>
              <w:rPr>
                <w:color w:val="000000"/>
              </w:rPr>
            </w:pPr>
          </w:p>
          <w:p w14:paraId="4B1E90A7" w14:textId="6EA03AB2" w:rsidR="003A6D7A" w:rsidRDefault="003A6D7A" w:rsidP="00BD7D84">
            <w:pPr>
              <w:rPr>
                <w:color w:val="000000"/>
              </w:rPr>
            </w:pPr>
          </w:p>
          <w:p w14:paraId="13F8AB50" w14:textId="45D0DE39" w:rsidR="003A6D7A" w:rsidRDefault="003A6D7A" w:rsidP="00BD7D84">
            <w:pPr>
              <w:rPr>
                <w:color w:val="000000"/>
              </w:rPr>
            </w:pPr>
          </w:p>
          <w:p w14:paraId="78EA1974" w14:textId="47DF74CC" w:rsidR="003A6D7A" w:rsidRDefault="003A6D7A" w:rsidP="00BD7D84">
            <w:pPr>
              <w:rPr>
                <w:color w:val="000000"/>
              </w:rPr>
            </w:pPr>
          </w:p>
          <w:p w14:paraId="6290811C" w14:textId="5CB6088E" w:rsidR="003A6D7A" w:rsidRDefault="003A6D7A" w:rsidP="00BD7D84">
            <w:pPr>
              <w:rPr>
                <w:color w:val="000000"/>
              </w:rPr>
            </w:pPr>
          </w:p>
          <w:p w14:paraId="4E731351" w14:textId="2FB8DB33" w:rsidR="003A6D7A" w:rsidRDefault="003A6D7A" w:rsidP="00BD7D84">
            <w:pPr>
              <w:rPr>
                <w:color w:val="000000"/>
              </w:rPr>
            </w:pPr>
          </w:p>
          <w:p w14:paraId="61BE0606" w14:textId="51F9ED7E" w:rsidR="003A6D7A" w:rsidRDefault="003A6D7A" w:rsidP="00BD7D84">
            <w:pPr>
              <w:rPr>
                <w:color w:val="000000"/>
              </w:rPr>
            </w:pPr>
          </w:p>
          <w:p w14:paraId="3AAFFB12" w14:textId="03DFDBEC" w:rsidR="003A6D7A" w:rsidRDefault="003A6D7A" w:rsidP="00BD7D84">
            <w:pPr>
              <w:rPr>
                <w:color w:val="000000"/>
              </w:rPr>
            </w:pPr>
          </w:p>
          <w:p w14:paraId="62DC1779" w14:textId="76A90913" w:rsidR="0022503C" w:rsidRDefault="003A6D7A" w:rsidP="00BD7D84">
            <w:pPr>
              <w:rPr>
                <w:color w:val="000000"/>
              </w:rPr>
            </w:pPr>
            <w:r>
              <w:rPr>
                <w:color w:val="000000"/>
              </w:rPr>
              <w:t>2.0.4</w:t>
            </w:r>
          </w:p>
          <w:p w14:paraId="53D67D83" w14:textId="77777777" w:rsidR="005E7852" w:rsidRDefault="005E7852" w:rsidP="00BD7D84">
            <w:pPr>
              <w:rPr>
                <w:color w:val="000000"/>
              </w:rPr>
            </w:pPr>
          </w:p>
          <w:p w14:paraId="3B69A447" w14:textId="77777777" w:rsidR="005E7852" w:rsidRDefault="005E7852" w:rsidP="00BD7D84">
            <w:pPr>
              <w:rPr>
                <w:color w:val="000000"/>
              </w:rPr>
            </w:pPr>
          </w:p>
          <w:p w14:paraId="6CF9BFC6" w14:textId="77777777" w:rsidR="005E7852" w:rsidRDefault="005E7852" w:rsidP="00BD7D84">
            <w:pPr>
              <w:rPr>
                <w:color w:val="000000"/>
              </w:rPr>
            </w:pPr>
          </w:p>
          <w:p w14:paraId="41068AC1" w14:textId="63D6343D" w:rsidR="005E7852" w:rsidRDefault="005E7852" w:rsidP="00BD7D84">
            <w:pPr>
              <w:rPr>
                <w:color w:val="000000"/>
              </w:rPr>
            </w:pPr>
          </w:p>
          <w:p w14:paraId="2B9EF2C9" w14:textId="77777777" w:rsidR="00E95CE3" w:rsidRDefault="00E95CE3" w:rsidP="00BD7D84">
            <w:pPr>
              <w:rPr>
                <w:color w:val="000000"/>
              </w:rPr>
            </w:pPr>
          </w:p>
          <w:p w14:paraId="4A44AA8F" w14:textId="1C3AEF2B" w:rsidR="005E7852" w:rsidRPr="00BD7D84" w:rsidRDefault="005E7852" w:rsidP="00BD7D84">
            <w:pPr>
              <w:rPr>
                <w:color w:val="000000"/>
              </w:rPr>
            </w:pPr>
            <w:r>
              <w:rPr>
                <w:color w:val="000000"/>
              </w:rPr>
              <w:lastRenderedPageBreak/>
              <w:t>2.0.5</w:t>
            </w:r>
          </w:p>
        </w:tc>
        <w:tc>
          <w:tcPr>
            <w:tcW w:w="8425" w:type="dxa"/>
            <w:tcBorders>
              <w:top w:val="nil"/>
              <w:left w:val="nil"/>
              <w:bottom w:val="nil"/>
              <w:right w:val="nil"/>
            </w:tcBorders>
            <w:shd w:val="clear" w:color="auto" w:fill="auto"/>
          </w:tcPr>
          <w:p w14:paraId="38BCB5B4" w14:textId="6063E144" w:rsidR="002C46B5" w:rsidRDefault="002924DD" w:rsidP="00785F08">
            <w:pPr>
              <w:rPr>
                <w:color w:val="000000"/>
              </w:rPr>
            </w:pPr>
            <w:r>
              <w:rPr>
                <w:color w:val="000000"/>
              </w:rPr>
              <w:lastRenderedPageBreak/>
              <w:t xml:space="preserve">The proposal </w:t>
            </w:r>
            <w:r w:rsidR="007D5810">
              <w:rPr>
                <w:color w:val="000000"/>
              </w:rPr>
              <w:t xml:space="preserve">seeks approval for the proposed change of use of the current dwelling, from an ancillary use to the main dwelling to a fully self-contained dwelling. This could if so desired on the part of our Client, be sold on the open market separate to that of Badgers Cliff and not as part of that sale </w:t>
            </w:r>
            <w:r w:rsidR="0022503C">
              <w:rPr>
                <w:color w:val="000000"/>
              </w:rPr>
              <w:t>as</w:t>
            </w:r>
            <w:r w:rsidR="007D5810">
              <w:rPr>
                <w:color w:val="000000"/>
              </w:rPr>
              <w:t xml:space="preserve"> would currently </w:t>
            </w:r>
            <w:r w:rsidR="0022503C">
              <w:rPr>
                <w:color w:val="000000"/>
              </w:rPr>
              <w:t>prevail</w:t>
            </w:r>
          </w:p>
          <w:p w14:paraId="3DAA2AC4" w14:textId="54024A05" w:rsidR="0022503C" w:rsidRDefault="0022503C" w:rsidP="00785F08">
            <w:pPr>
              <w:rPr>
                <w:color w:val="000000"/>
              </w:rPr>
            </w:pPr>
          </w:p>
          <w:p w14:paraId="76DE76A2" w14:textId="3FFE2565" w:rsidR="0022503C" w:rsidRDefault="0022503C" w:rsidP="00785F08">
            <w:pPr>
              <w:rPr>
                <w:color w:val="000000"/>
              </w:rPr>
            </w:pPr>
            <w:r>
              <w:rPr>
                <w:color w:val="000000"/>
              </w:rPr>
              <w:t xml:space="preserve">As previously qualified above, this proposal seeks only for the change of use from an ancillary use to the main dwelling, to that of a fully self-contained dwelling independent in all ways from Badgers Cliff. </w:t>
            </w:r>
            <w:r w:rsidR="001B5555">
              <w:rPr>
                <w:color w:val="000000"/>
              </w:rPr>
              <w:t xml:space="preserve"> </w:t>
            </w:r>
            <w:r>
              <w:rPr>
                <w:color w:val="000000"/>
              </w:rPr>
              <w:t>Other than this change of use, there will be no change to the internal plan layout or the external façade. To this respect, the perceived impact of the proposed dwelling has already been fully considered and approved by the Planning Department</w:t>
            </w:r>
            <w:r w:rsidR="006400C6">
              <w:rPr>
                <w:color w:val="000000"/>
              </w:rPr>
              <w:t>,</w:t>
            </w:r>
            <w:r>
              <w:rPr>
                <w:color w:val="000000"/>
              </w:rPr>
              <w:t xml:space="preserve"> and as a result constructed in full compliance with “as approved” Planning drawings (albeit with approved Non- Material amendment to the windows)</w:t>
            </w:r>
          </w:p>
          <w:p w14:paraId="209799BD" w14:textId="7D7D346A" w:rsidR="0022503C" w:rsidRDefault="0022503C" w:rsidP="00785F08">
            <w:pPr>
              <w:rPr>
                <w:color w:val="000000"/>
              </w:rPr>
            </w:pPr>
          </w:p>
          <w:p w14:paraId="1D26185A" w14:textId="24080CEB" w:rsidR="003A6D7A" w:rsidRPr="003A6D7A" w:rsidRDefault="003A6D7A" w:rsidP="00785F08">
            <w:pPr>
              <w:rPr>
                <w:b/>
                <w:bCs/>
              </w:rPr>
            </w:pPr>
            <w:r w:rsidRPr="003A6D7A">
              <w:rPr>
                <w:b/>
                <w:bCs/>
              </w:rPr>
              <w:t>Five - year housing supply</w:t>
            </w:r>
          </w:p>
          <w:p w14:paraId="1114334E" w14:textId="77777777" w:rsidR="003A6D7A" w:rsidRDefault="003A6D7A" w:rsidP="00785F08">
            <w:r>
              <w:t>The requirement to maintain a supply of deliverable sites to cover the five</w:t>
            </w:r>
            <w:r>
              <w:t>-</w:t>
            </w:r>
            <w:r>
              <w:t xml:space="preserve"> year period is derived from national policy. For the joint Local Plan area and for the period 2018- 2023, this supply requirement has been calculated as 5,612 dwellings</w:t>
            </w:r>
            <w:r>
              <w:t xml:space="preserve"> </w:t>
            </w:r>
            <w:r>
              <w:t xml:space="preserve">equivalent to 1,122 dwellings per year. This is reduced from the previous year due to the implementation of the Housing Delivery Test which has reduced the buffer placed on the housing requirement from 20% to 5%. </w:t>
            </w:r>
          </w:p>
          <w:p w14:paraId="726511E9" w14:textId="77777777" w:rsidR="003A6D7A" w:rsidRDefault="003A6D7A" w:rsidP="00785F08"/>
          <w:p w14:paraId="40A81169" w14:textId="77777777" w:rsidR="003A6D7A" w:rsidRDefault="003A6D7A" w:rsidP="00785F08">
            <w:r>
              <w:t>The supply of deliverable sites that can be counted as being part of the five-year supply for the 2018 to 2023 period is set out in Figure 3.8. After the application of the relevant discounts, the total number of deliverable sites is estimated at 5,479 dwellings. This supply calculation is based on the most up-to-date information available as at 1st April 2018.</w:t>
            </w:r>
          </w:p>
          <w:p w14:paraId="378EADBE" w14:textId="77777777" w:rsidR="003A6D7A" w:rsidRDefault="003A6D7A" w:rsidP="00785F08"/>
          <w:p w14:paraId="7751A462" w14:textId="77777777" w:rsidR="003A6D7A" w:rsidRDefault="003A6D7A" w:rsidP="00785F08">
            <w:pPr>
              <w:rPr>
                <w:b/>
                <w:bCs/>
              </w:rPr>
            </w:pPr>
            <w:r>
              <w:t xml:space="preserve">For the period 2018 to 2023, </w:t>
            </w:r>
            <w:r w:rsidRPr="003A6D7A">
              <w:rPr>
                <w:b/>
                <w:bCs/>
              </w:rPr>
              <w:t xml:space="preserve">the councils do not have sufficient supply to meet the </w:t>
            </w:r>
          </w:p>
          <w:p w14:paraId="71A8B848" w14:textId="4DCE1D94" w:rsidR="003A6D7A" w:rsidRDefault="003A6D7A" w:rsidP="00785F08">
            <w:r w:rsidRPr="003A6D7A">
              <w:rPr>
                <w:b/>
                <w:bCs/>
              </w:rPr>
              <w:t>five-year supply requirement as required by national policy. The councils can only demonstrate a supply of deliverable sites equivalent to 4.88 years as shown in Figure 4.1.</w:t>
            </w:r>
            <w:r>
              <w:t xml:space="preserve"> </w:t>
            </w:r>
          </w:p>
          <w:p w14:paraId="0F3F5E47" w14:textId="77777777" w:rsidR="003A6D7A" w:rsidRDefault="003A6D7A" w:rsidP="00785F08"/>
          <w:p w14:paraId="4169F3A8" w14:textId="0D1094F3" w:rsidR="0022503C" w:rsidRDefault="003A6D7A" w:rsidP="00785F08">
            <w:r>
              <w:t>The revised position has taken into account the new monitoring information that has become available for the 2017 / 18 monitoring year. It shows a slight worsening of the situation from the previous year mainly due to the tougher deliverable test now included within the National Planning Policy framework.</w:t>
            </w:r>
          </w:p>
          <w:p w14:paraId="5C515125" w14:textId="77777777" w:rsidR="003A6D7A" w:rsidRDefault="003A6D7A" w:rsidP="00785F08">
            <w:pPr>
              <w:rPr>
                <w:color w:val="000000"/>
              </w:rPr>
            </w:pPr>
          </w:p>
          <w:p w14:paraId="277E86B0" w14:textId="53C346E5" w:rsidR="005E7852" w:rsidRDefault="0022503C" w:rsidP="00785F08">
            <w:pPr>
              <w:rPr>
                <w:color w:val="000000"/>
              </w:rPr>
            </w:pPr>
            <w:r>
              <w:rPr>
                <w:color w:val="000000"/>
              </w:rPr>
              <w:t>The Planning Department through the previously approved Planning application reference</w:t>
            </w:r>
            <w:r w:rsidR="003A6D7A">
              <w:rPr>
                <w:color w:val="000000"/>
              </w:rPr>
              <w:t xml:space="preserve"> </w:t>
            </w:r>
            <w:r w:rsidR="005E7852" w:rsidRPr="005E7852">
              <w:rPr>
                <w:color w:val="000000"/>
              </w:rPr>
              <w:t>WP/15/00563/FUL</w:t>
            </w:r>
            <w:r w:rsidR="005E7852">
              <w:rPr>
                <w:color w:val="000000"/>
              </w:rPr>
              <w:t xml:space="preserve"> have </w:t>
            </w:r>
            <w:r w:rsidR="005E7852" w:rsidRPr="005E7852">
              <w:rPr>
                <w:b/>
                <w:bCs/>
                <w:color w:val="000000"/>
              </w:rPr>
              <w:t>already accepted that the structure as it exists is a dwelling.</w:t>
            </w:r>
            <w:r w:rsidR="003A6D7A">
              <w:rPr>
                <w:b/>
                <w:bCs/>
                <w:color w:val="000000"/>
              </w:rPr>
              <w:t xml:space="preserve"> </w:t>
            </w:r>
            <w:r w:rsidR="005E7852">
              <w:rPr>
                <w:color w:val="000000"/>
              </w:rPr>
              <w:t>The as built plan layout and façade being such that the structure could already function as a fully self-contained dwelling, with no reliance on Badgers Cliff.</w:t>
            </w:r>
          </w:p>
          <w:p w14:paraId="45C00E51" w14:textId="0C3FB610" w:rsidR="005E7852" w:rsidRDefault="005E7852" w:rsidP="00785F08">
            <w:pPr>
              <w:rPr>
                <w:color w:val="000000"/>
              </w:rPr>
            </w:pPr>
          </w:p>
          <w:p w14:paraId="2894CB69" w14:textId="77777777" w:rsidR="003A6D7A" w:rsidRDefault="003A6D7A" w:rsidP="00785F08">
            <w:pPr>
              <w:rPr>
                <w:color w:val="000000"/>
              </w:rPr>
            </w:pPr>
          </w:p>
          <w:p w14:paraId="2698235F" w14:textId="68AC3EA1" w:rsidR="005E7852" w:rsidRDefault="005E7852" w:rsidP="00785F08">
            <w:pPr>
              <w:rPr>
                <w:color w:val="000000"/>
              </w:rPr>
            </w:pPr>
            <w:r>
              <w:rPr>
                <w:color w:val="000000"/>
              </w:rPr>
              <w:lastRenderedPageBreak/>
              <w:t>West Dorset, Weymouth and Portland Current Adopted Local Plan policy SUS3 allows for adaptation and re-use of Buildings where outside a Defined Development boundary.</w:t>
            </w:r>
          </w:p>
          <w:p w14:paraId="32EB9037" w14:textId="679CA113" w:rsidR="005E7852" w:rsidRDefault="005E7852" w:rsidP="00785F08">
            <w:pPr>
              <w:rPr>
                <w:color w:val="000000"/>
              </w:rPr>
            </w:pPr>
            <w:r>
              <w:rPr>
                <w:color w:val="000000"/>
              </w:rPr>
              <w:t xml:space="preserve">This states that open market housing would be acceptable as long as the building was in existence in 2011. </w:t>
            </w:r>
            <w:r w:rsidR="00550156">
              <w:rPr>
                <w:color w:val="000000"/>
              </w:rPr>
              <w:t>It is recognised that the dwelling proposed to be self-contained was constructed in 2016.</w:t>
            </w:r>
          </w:p>
          <w:p w14:paraId="7EDC555A" w14:textId="65C35CC6" w:rsidR="00550156" w:rsidRDefault="00550156" w:rsidP="00785F08">
            <w:pPr>
              <w:rPr>
                <w:color w:val="000000"/>
              </w:rPr>
            </w:pPr>
          </w:p>
          <w:p w14:paraId="12CAF42B" w14:textId="121C39D7" w:rsidR="00550156" w:rsidRDefault="00550156" w:rsidP="00785F08">
            <w:pPr>
              <w:rPr>
                <w:b/>
                <w:bCs/>
                <w:color w:val="000000"/>
              </w:rPr>
            </w:pPr>
            <w:r>
              <w:rPr>
                <w:color w:val="000000"/>
              </w:rPr>
              <w:t xml:space="preserve">However, it is recognised on the part of the Planning Department and the author of this report, that the specific date of 2011 was primarily introduced so that buildings approved through the Planning process as agricultural, could not be converted to dwellings in full compliance with Local and National Planning policy </w:t>
            </w:r>
            <w:r w:rsidRPr="00550156">
              <w:rPr>
                <w:b/>
                <w:bCs/>
                <w:color w:val="000000"/>
              </w:rPr>
              <w:t>in locations at a later stage, that would otherwise not support a residential dwelling when assessed against Planning policy</w:t>
            </w:r>
            <w:r>
              <w:rPr>
                <w:color w:val="000000"/>
              </w:rPr>
              <w:t xml:space="preserve">. </w:t>
            </w:r>
            <w:r w:rsidRPr="00550156">
              <w:rPr>
                <w:b/>
                <w:bCs/>
                <w:color w:val="000000"/>
              </w:rPr>
              <w:t>The structure exists as a dwelling</w:t>
            </w:r>
            <w:r w:rsidR="00500943">
              <w:rPr>
                <w:b/>
                <w:bCs/>
                <w:color w:val="000000"/>
              </w:rPr>
              <w:t>,</w:t>
            </w:r>
            <w:r w:rsidRPr="00550156">
              <w:rPr>
                <w:b/>
                <w:bCs/>
                <w:color w:val="000000"/>
              </w:rPr>
              <w:t xml:space="preserve"> and will require no material alteration to remain as such.</w:t>
            </w:r>
          </w:p>
          <w:p w14:paraId="5FE3B8DB" w14:textId="77777777" w:rsidR="003A6D7A" w:rsidRPr="00550156" w:rsidRDefault="003A6D7A" w:rsidP="00785F08">
            <w:pPr>
              <w:rPr>
                <w:b/>
                <w:bCs/>
                <w:color w:val="000000"/>
              </w:rPr>
            </w:pPr>
          </w:p>
          <w:p w14:paraId="72DF653C" w14:textId="77777777" w:rsidR="00B0420B" w:rsidRDefault="00550156" w:rsidP="00BD7D84">
            <w:pPr>
              <w:rPr>
                <w:color w:val="000000"/>
              </w:rPr>
            </w:pPr>
            <w:r>
              <w:rPr>
                <w:color w:val="000000"/>
              </w:rPr>
              <w:t xml:space="preserve">The proposal if located </w:t>
            </w:r>
            <w:r w:rsidRPr="006400C6">
              <w:rPr>
                <w:b/>
                <w:bCs/>
                <w:color w:val="000000"/>
              </w:rPr>
              <w:t>only 7m more to the West</w:t>
            </w:r>
            <w:r>
              <w:rPr>
                <w:color w:val="000000"/>
              </w:rPr>
              <w:t xml:space="preserve"> would be within the Defined Development boundary and Policy SUS3 would not be considered and the dwelling would fully accord with Policy SUS2-Distribution of Development</w:t>
            </w:r>
          </w:p>
          <w:p w14:paraId="474FFC4D" w14:textId="5B8D9FE8" w:rsidR="00500943" w:rsidRPr="00BD7D84" w:rsidRDefault="00500943" w:rsidP="00BD7D84">
            <w:pPr>
              <w:rPr>
                <w:color w:val="000000"/>
              </w:rPr>
            </w:pPr>
          </w:p>
        </w:tc>
      </w:tr>
      <w:tr w:rsidR="00B0420B" w:rsidRPr="00BD7D84" w14:paraId="251B8E47" w14:textId="77777777" w:rsidTr="00F43DFE">
        <w:tc>
          <w:tcPr>
            <w:tcW w:w="851" w:type="dxa"/>
            <w:tcBorders>
              <w:top w:val="nil"/>
              <w:left w:val="nil"/>
              <w:bottom w:val="nil"/>
              <w:right w:val="nil"/>
            </w:tcBorders>
            <w:shd w:val="clear" w:color="auto" w:fill="auto"/>
          </w:tcPr>
          <w:p w14:paraId="51EDDD85" w14:textId="37040AB7" w:rsidR="00B0420B" w:rsidRPr="00BD7D84" w:rsidRDefault="00500943" w:rsidP="00BD7D84">
            <w:pPr>
              <w:rPr>
                <w:b/>
                <w:color w:val="000000"/>
              </w:rPr>
            </w:pPr>
            <w:r>
              <w:rPr>
                <w:b/>
                <w:color w:val="000000"/>
              </w:rPr>
              <w:lastRenderedPageBreak/>
              <w:t>3</w:t>
            </w:r>
            <w:r w:rsidR="00E2336C" w:rsidRPr="00BD7D84">
              <w:rPr>
                <w:b/>
                <w:color w:val="000000"/>
              </w:rPr>
              <w:t>.0.</w:t>
            </w:r>
          </w:p>
        </w:tc>
        <w:tc>
          <w:tcPr>
            <w:tcW w:w="8425" w:type="dxa"/>
            <w:tcBorders>
              <w:top w:val="nil"/>
              <w:left w:val="nil"/>
              <w:bottom w:val="nil"/>
              <w:right w:val="nil"/>
            </w:tcBorders>
            <w:shd w:val="clear" w:color="auto" w:fill="auto"/>
          </w:tcPr>
          <w:p w14:paraId="2D580744" w14:textId="77777777" w:rsidR="00B0420B" w:rsidRPr="00BD7D84" w:rsidRDefault="00BD7D84" w:rsidP="00BD7D84">
            <w:pPr>
              <w:rPr>
                <w:b/>
                <w:color w:val="000000"/>
              </w:rPr>
            </w:pPr>
            <w:r w:rsidRPr="00BD7D84">
              <w:rPr>
                <w:b/>
                <w:color w:val="000000"/>
              </w:rPr>
              <w:t>CAR PARKING</w:t>
            </w:r>
          </w:p>
        </w:tc>
      </w:tr>
      <w:tr w:rsidR="00B0420B" w:rsidRPr="00BD7D84" w14:paraId="22325BA6" w14:textId="77777777" w:rsidTr="008C26CB">
        <w:tc>
          <w:tcPr>
            <w:tcW w:w="851" w:type="dxa"/>
            <w:tcBorders>
              <w:top w:val="nil"/>
              <w:left w:val="nil"/>
              <w:bottom w:val="nil"/>
              <w:right w:val="nil"/>
            </w:tcBorders>
            <w:shd w:val="clear" w:color="auto" w:fill="auto"/>
          </w:tcPr>
          <w:p w14:paraId="2D2DF3B7" w14:textId="77777777" w:rsidR="00B0420B" w:rsidRPr="00BD7D84" w:rsidRDefault="00B0420B" w:rsidP="00BD7D84">
            <w:pPr>
              <w:rPr>
                <w:color w:val="000000"/>
              </w:rPr>
            </w:pPr>
          </w:p>
        </w:tc>
        <w:tc>
          <w:tcPr>
            <w:tcW w:w="8425" w:type="dxa"/>
            <w:tcBorders>
              <w:top w:val="nil"/>
              <w:left w:val="nil"/>
              <w:bottom w:val="nil"/>
              <w:right w:val="nil"/>
            </w:tcBorders>
            <w:shd w:val="clear" w:color="auto" w:fill="auto"/>
          </w:tcPr>
          <w:p w14:paraId="56EB769D" w14:textId="77777777" w:rsidR="00B0420B" w:rsidRPr="00BD7D84" w:rsidRDefault="00B0420B" w:rsidP="00BD7D84">
            <w:pPr>
              <w:rPr>
                <w:color w:val="000000"/>
              </w:rPr>
            </w:pPr>
          </w:p>
        </w:tc>
      </w:tr>
      <w:tr w:rsidR="00500943" w:rsidRPr="00BD7D84" w14:paraId="075FC3D8" w14:textId="77777777" w:rsidTr="008C26CB">
        <w:tc>
          <w:tcPr>
            <w:tcW w:w="851" w:type="dxa"/>
            <w:tcBorders>
              <w:top w:val="nil"/>
              <w:left w:val="nil"/>
              <w:bottom w:val="nil"/>
              <w:right w:val="nil"/>
            </w:tcBorders>
            <w:shd w:val="clear" w:color="auto" w:fill="auto"/>
          </w:tcPr>
          <w:p w14:paraId="0B2F2117" w14:textId="421B2889" w:rsidR="00500943" w:rsidRDefault="00500943" w:rsidP="00500943">
            <w:pPr>
              <w:rPr>
                <w:color w:val="000000"/>
              </w:rPr>
            </w:pPr>
            <w:r>
              <w:rPr>
                <w:color w:val="000000"/>
              </w:rPr>
              <w:t>3</w:t>
            </w:r>
            <w:r w:rsidRPr="00BD7D84">
              <w:rPr>
                <w:color w:val="000000"/>
              </w:rPr>
              <w:t>.0.1</w:t>
            </w:r>
          </w:p>
          <w:p w14:paraId="575A42BB" w14:textId="77777777" w:rsidR="00500943" w:rsidRDefault="00500943" w:rsidP="00500943">
            <w:pPr>
              <w:rPr>
                <w:color w:val="000000"/>
              </w:rPr>
            </w:pPr>
          </w:p>
          <w:p w14:paraId="70953693" w14:textId="77777777" w:rsidR="00500943" w:rsidRDefault="00500943" w:rsidP="00500943">
            <w:pPr>
              <w:rPr>
                <w:color w:val="000000"/>
              </w:rPr>
            </w:pPr>
          </w:p>
          <w:p w14:paraId="7EA5A2D1" w14:textId="77777777" w:rsidR="00500943" w:rsidRDefault="00500943" w:rsidP="00500943">
            <w:pPr>
              <w:rPr>
                <w:color w:val="000000"/>
              </w:rPr>
            </w:pPr>
          </w:p>
          <w:p w14:paraId="22547E76" w14:textId="77777777" w:rsidR="00500943" w:rsidRDefault="00500943" w:rsidP="00500943">
            <w:pPr>
              <w:rPr>
                <w:color w:val="000000"/>
              </w:rPr>
            </w:pPr>
          </w:p>
          <w:p w14:paraId="53B573F8" w14:textId="77777777" w:rsidR="00500943" w:rsidRDefault="00500943" w:rsidP="00500943">
            <w:pPr>
              <w:rPr>
                <w:color w:val="000000"/>
              </w:rPr>
            </w:pPr>
          </w:p>
          <w:p w14:paraId="6784C977" w14:textId="77777777" w:rsidR="00500943" w:rsidRDefault="00500943" w:rsidP="00500943">
            <w:pPr>
              <w:rPr>
                <w:color w:val="000000"/>
              </w:rPr>
            </w:pPr>
          </w:p>
          <w:p w14:paraId="4CEF4484" w14:textId="77777777" w:rsidR="00500943" w:rsidRDefault="00500943" w:rsidP="00500943">
            <w:pPr>
              <w:rPr>
                <w:color w:val="000000"/>
              </w:rPr>
            </w:pPr>
          </w:p>
          <w:p w14:paraId="18F607A9" w14:textId="77777777" w:rsidR="00500943" w:rsidRDefault="00500943" w:rsidP="00500943">
            <w:pPr>
              <w:rPr>
                <w:color w:val="000000"/>
              </w:rPr>
            </w:pPr>
          </w:p>
          <w:p w14:paraId="12B1A441" w14:textId="77777777" w:rsidR="00500943" w:rsidRDefault="00500943" w:rsidP="00500943">
            <w:pPr>
              <w:rPr>
                <w:color w:val="000000"/>
              </w:rPr>
            </w:pPr>
          </w:p>
          <w:p w14:paraId="79487578" w14:textId="77777777" w:rsidR="00500943" w:rsidRDefault="00500943" w:rsidP="00500943">
            <w:pPr>
              <w:rPr>
                <w:color w:val="000000"/>
              </w:rPr>
            </w:pPr>
          </w:p>
          <w:p w14:paraId="00F2B764" w14:textId="27BBDD75" w:rsidR="00500943" w:rsidRPr="00BD7D84" w:rsidRDefault="00500943" w:rsidP="00500943">
            <w:pPr>
              <w:rPr>
                <w:color w:val="000000"/>
              </w:rPr>
            </w:pPr>
          </w:p>
        </w:tc>
        <w:tc>
          <w:tcPr>
            <w:tcW w:w="8425" w:type="dxa"/>
            <w:tcBorders>
              <w:top w:val="nil"/>
              <w:left w:val="nil"/>
              <w:bottom w:val="nil"/>
              <w:right w:val="nil"/>
            </w:tcBorders>
            <w:shd w:val="clear" w:color="auto" w:fill="auto"/>
          </w:tcPr>
          <w:p w14:paraId="57B7CED8" w14:textId="77777777" w:rsidR="00500943" w:rsidRPr="00044242" w:rsidRDefault="00500943" w:rsidP="00500943">
            <w:pPr>
              <w:rPr>
                <w:b/>
              </w:rPr>
            </w:pPr>
            <w:r w:rsidRPr="00044242">
              <w:rPr>
                <w:b/>
              </w:rPr>
              <w:t>COM 9</w:t>
            </w:r>
            <w:r>
              <w:rPr>
                <w:b/>
              </w:rPr>
              <w:t xml:space="preserve">- </w:t>
            </w:r>
            <w:r w:rsidRPr="00044242">
              <w:rPr>
                <w:b/>
              </w:rPr>
              <w:t>PARKING STANDARDS WITHIN NEW DEVELOPMENT</w:t>
            </w:r>
          </w:p>
          <w:p w14:paraId="41872769" w14:textId="77777777" w:rsidR="00500943" w:rsidRDefault="00500943" w:rsidP="00500943"/>
          <w:p w14:paraId="76B1D574" w14:textId="5BADF80E" w:rsidR="00500943" w:rsidRDefault="00500943" w:rsidP="00500943">
            <w:r>
              <w:t xml:space="preserve">As is evident on the proposed site plan (which is the existing site plan layout) there is already sufficient off - road parking, turning area and </w:t>
            </w:r>
            <w:r w:rsidR="001B5555">
              <w:t>a dedicated driveway</w:t>
            </w:r>
            <w:r>
              <w:t xml:space="preserve"> to the dwelling.</w:t>
            </w:r>
          </w:p>
          <w:p w14:paraId="5A5DC915" w14:textId="77777777" w:rsidR="00500943" w:rsidRDefault="00500943" w:rsidP="00500943"/>
          <w:p w14:paraId="78FFB30B" w14:textId="1CC74838" w:rsidR="00500943" w:rsidRDefault="00500943" w:rsidP="00500943">
            <w:r>
              <w:t xml:space="preserve">The amount of car parking to be provided has been assessed under the methodology set out in the Bournemouth, Poole &amp; Dorset Residential Car Parking Study, taking account of the following factors: </w:t>
            </w:r>
          </w:p>
          <w:p w14:paraId="0484AD47" w14:textId="77777777" w:rsidR="00500943" w:rsidRDefault="00500943" w:rsidP="00500943">
            <w:r>
              <w:t xml:space="preserve">• Levels of local accessibility; </w:t>
            </w:r>
          </w:p>
          <w:p w14:paraId="70F82F11" w14:textId="77777777" w:rsidR="00500943" w:rsidRDefault="00500943" w:rsidP="00500943">
            <w:r>
              <w:t xml:space="preserve">• Historic and forecast car ownership levels; </w:t>
            </w:r>
          </w:p>
          <w:p w14:paraId="7C329ACE" w14:textId="77777777" w:rsidR="00500943" w:rsidRDefault="00500943" w:rsidP="00500943">
            <w:r>
              <w:t xml:space="preserve">• The size, type, tenure and location of the dwellings; </w:t>
            </w:r>
          </w:p>
          <w:p w14:paraId="7A7220C3" w14:textId="2BBC56E1" w:rsidR="00500943" w:rsidRPr="00500943" w:rsidRDefault="00500943" w:rsidP="00500943">
            <w:r>
              <w:t>• The appropriate mix of parking types (e.g. unallocated, on-street, visitor etc).</w:t>
            </w:r>
          </w:p>
        </w:tc>
      </w:tr>
      <w:tr w:rsidR="00500943" w:rsidRPr="00BD7D84" w14:paraId="75AD1A97" w14:textId="77777777" w:rsidTr="008C26CB">
        <w:tc>
          <w:tcPr>
            <w:tcW w:w="851" w:type="dxa"/>
            <w:tcBorders>
              <w:top w:val="nil"/>
              <w:left w:val="nil"/>
              <w:bottom w:val="nil"/>
              <w:right w:val="nil"/>
            </w:tcBorders>
            <w:shd w:val="clear" w:color="auto" w:fill="auto"/>
          </w:tcPr>
          <w:p w14:paraId="7FE8DCCD" w14:textId="103ECA03" w:rsidR="00500943" w:rsidRPr="008C26CB" w:rsidRDefault="00500943" w:rsidP="00500943">
            <w:pPr>
              <w:rPr>
                <w:b/>
                <w:bCs/>
                <w:color w:val="000000"/>
              </w:rPr>
            </w:pPr>
          </w:p>
        </w:tc>
        <w:tc>
          <w:tcPr>
            <w:tcW w:w="8425" w:type="dxa"/>
            <w:tcBorders>
              <w:top w:val="nil"/>
              <w:left w:val="nil"/>
              <w:bottom w:val="nil"/>
              <w:right w:val="nil"/>
            </w:tcBorders>
            <w:shd w:val="clear" w:color="auto" w:fill="auto"/>
          </w:tcPr>
          <w:p w14:paraId="236BB28A" w14:textId="40DBD185" w:rsidR="00500943" w:rsidRPr="008C26CB" w:rsidRDefault="00500943" w:rsidP="00500943">
            <w:pPr>
              <w:rPr>
                <w:b/>
                <w:bCs/>
                <w:color w:val="000000"/>
              </w:rPr>
            </w:pPr>
          </w:p>
        </w:tc>
      </w:tr>
      <w:tr w:rsidR="00500943" w:rsidRPr="00BD7D84" w14:paraId="4155884B" w14:textId="77777777" w:rsidTr="000C217D">
        <w:tc>
          <w:tcPr>
            <w:tcW w:w="851" w:type="dxa"/>
            <w:tcBorders>
              <w:top w:val="nil"/>
              <w:left w:val="nil"/>
              <w:bottom w:val="nil"/>
              <w:right w:val="nil"/>
            </w:tcBorders>
            <w:shd w:val="clear" w:color="auto" w:fill="auto"/>
          </w:tcPr>
          <w:p w14:paraId="7D37E3F3" w14:textId="77777777" w:rsidR="00500943" w:rsidRPr="008C26CB" w:rsidRDefault="00500943" w:rsidP="00500943">
            <w:pPr>
              <w:rPr>
                <w:color w:val="000000"/>
              </w:rPr>
            </w:pPr>
          </w:p>
        </w:tc>
        <w:tc>
          <w:tcPr>
            <w:tcW w:w="8425" w:type="dxa"/>
            <w:tcBorders>
              <w:top w:val="nil"/>
              <w:left w:val="nil"/>
              <w:bottom w:val="nil"/>
              <w:right w:val="nil"/>
            </w:tcBorders>
            <w:shd w:val="clear" w:color="auto" w:fill="auto"/>
          </w:tcPr>
          <w:p w14:paraId="4C01B7C7" w14:textId="77777777" w:rsidR="00500943" w:rsidRDefault="00500943" w:rsidP="00500943">
            <w:r>
              <w:t>Appraisal of the Bournemouth, Poole and Dorset Residential Car Survey (May 2011) confirms the following relevant to the proposal site;</w:t>
            </w:r>
          </w:p>
          <w:p w14:paraId="78F42CAC" w14:textId="77777777" w:rsidR="00500943" w:rsidRDefault="00500943" w:rsidP="00500943"/>
          <w:p w14:paraId="4A62CB74" w14:textId="77777777" w:rsidR="00500943" w:rsidRDefault="00500943" w:rsidP="00500943">
            <w:r>
              <w:t>The purpose of the document is to ensure that parking provision in new residential developments, both market and affordable, is designed to meet expected demand in such a way as to ensure the most efficient use of space and the best urban design.</w:t>
            </w:r>
          </w:p>
          <w:p w14:paraId="4B23FC7A" w14:textId="77777777" w:rsidR="00500943" w:rsidRDefault="00500943" w:rsidP="00500943"/>
          <w:p w14:paraId="3E99BE45" w14:textId="77777777" w:rsidR="00500943" w:rsidRDefault="00500943" w:rsidP="00500943">
            <w:r>
              <w:t>The document provides guidance on the optimum level of car parking for any given residential development and the results will inform any discussions with both Highways Development Control Engineers at Dorset County Council and with the Planning Officers at the relevant District or Borough Authority.</w:t>
            </w:r>
          </w:p>
          <w:p w14:paraId="2B2530C3" w14:textId="77777777" w:rsidR="00500943" w:rsidRDefault="00500943" w:rsidP="00500943"/>
          <w:p w14:paraId="36FAD012" w14:textId="3E379BE6" w:rsidR="00500943" w:rsidRPr="00500943" w:rsidRDefault="00500943" w:rsidP="00500943">
            <w:pPr>
              <w:rPr>
                <w:b/>
                <w:bCs/>
              </w:rPr>
            </w:pPr>
            <w:r>
              <w:t xml:space="preserve">The parking </w:t>
            </w:r>
            <w:r w:rsidRPr="00044242">
              <w:rPr>
                <w:b/>
              </w:rPr>
              <w:t>guidance</w:t>
            </w:r>
            <w:r>
              <w:t xml:space="preserve"> for developments of 5 dwellings or less allows for a provision of </w:t>
            </w:r>
            <w:r w:rsidRPr="00500943">
              <w:rPr>
                <w:b/>
                <w:bCs/>
              </w:rPr>
              <w:t xml:space="preserve">2no off road parking spaces for houses with up to four bedrooms. The proposal will allow </w:t>
            </w:r>
            <w:r>
              <w:rPr>
                <w:b/>
                <w:bCs/>
              </w:rPr>
              <w:t>for this.</w:t>
            </w:r>
          </w:p>
          <w:p w14:paraId="6430DB2F" w14:textId="77777777" w:rsidR="00500943" w:rsidRPr="008C26CB" w:rsidRDefault="00500943" w:rsidP="00500943">
            <w:pPr>
              <w:rPr>
                <w:color w:val="000000"/>
              </w:rPr>
            </w:pPr>
          </w:p>
        </w:tc>
      </w:tr>
      <w:tr w:rsidR="00500943" w:rsidRPr="00BD7D84" w14:paraId="3A4B3331" w14:textId="77777777" w:rsidTr="000C217D">
        <w:tc>
          <w:tcPr>
            <w:tcW w:w="851" w:type="dxa"/>
            <w:tcBorders>
              <w:top w:val="nil"/>
              <w:left w:val="nil"/>
              <w:bottom w:val="nil"/>
              <w:right w:val="nil"/>
            </w:tcBorders>
            <w:shd w:val="clear" w:color="auto" w:fill="auto"/>
          </w:tcPr>
          <w:p w14:paraId="625A8652" w14:textId="11CCB44B" w:rsidR="00500943" w:rsidRPr="008C26CB" w:rsidRDefault="00500943" w:rsidP="00500943">
            <w:pPr>
              <w:rPr>
                <w:color w:val="000000"/>
              </w:rPr>
            </w:pPr>
            <w:r>
              <w:rPr>
                <w:color w:val="000000"/>
              </w:rPr>
              <w:lastRenderedPageBreak/>
              <w:t>3.0.2</w:t>
            </w:r>
          </w:p>
        </w:tc>
        <w:tc>
          <w:tcPr>
            <w:tcW w:w="8425" w:type="dxa"/>
            <w:tcBorders>
              <w:top w:val="nil"/>
              <w:left w:val="nil"/>
              <w:bottom w:val="nil"/>
              <w:right w:val="nil"/>
            </w:tcBorders>
            <w:shd w:val="clear" w:color="auto" w:fill="auto"/>
          </w:tcPr>
          <w:p w14:paraId="45DFEB1B" w14:textId="4122D28E" w:rsidR="00500943" w:rsidRPr="008C26CB" w:rsidRDefault="00500943" w:rsidP="00500943">
            <w:pPr>
              <w:rPr>
                <w:color w:val="000000"/>
              </w:rPr>
            </w:pPr>
            <w:r>
              <w:rPr>
                <w:color w:val="000000"/>
              </w:rPr>
              <w:t>As exists already the existing vehicular access serving Badgers Cliff and the detached dwelling will be retained. An existing vehicular access track leading to the detached dwelling will also be reutilised.</w:t>
            </w:r>
          </w:p>
        </w:tc>
      </w:tr>
      <w:tr w:rsidR="00500943" w:rsidRPr="00BD7D84" w14:paraId="0535857D" w14:textId="77777777" w:rsidTr="000C217D">
        <w:tc>
          <w:tcPr>
            <w:tcW w:w="851" w:type="dxa"/>
            <w:tcBorders>
              <w:top w:val="nil"/>
              <w:left w:val="nil"/>
              <w:bottom w:val="nil"/>
              <w:right w:val="nil"/>
            </w:tcBorders>
            <w:shd w:val="clear" w:color="auto" w:fill="auto"/>
          </w:tcPr>
          <w:p w14:paraId="23A4439A" w14:textId="77777777" w:rsidR="00500943" w:rsidRPr="008C26CB" w:rsidRDefault="00500943" w:rsidP="00500943">
            <w:pPr>
              <w:rPr>
                <w:color w:val="000000"/>
              </w:rPr>
            </w:pPr>
          </w:p>
        </w:tc>
        <w:tc>
          <w:tcPr>
            <w:tcW w:w="8425" w:type="dxa"/>
            <w:tcBorders>
              <w:top w:val="nil"/>
              <w:left w:val="nil"/>
              <w:bottom w:val="nil"/>
              <w:right w:val="nil"/>
            </w:tcBorders>
            <w:shd w:val="clear" w:color="auto" w:fill="auto"/>
          </w:tcPr>
          <w:p w14:paraId="6FC21F3E" w14:textId="77777777" w:rsidR="00500943" w:rsidRPr="008C26CB" w:rsidRDefault="00500943" w:rsidP="00500943">
            <w:pPr>
              <w:rPr>
                <w:color w:val="000000"/>
              </w:rPr>
            </w:pPr>
          </w:p>
        </w:tc>
      </w:tr>
      <w:tr w:rsidR="006400C6" w:rsidRPr="00BD7D84" w14:paraId="43875529" w14:textId="77777777" w:rsidTr="000C217D">
        <w:tc>
          <w:tcPr>
            <w:tcW w:w="851" w:type="dxa"/>
            <w:tcBorders>
              <w:top w:val="nil"/>
              <w:left w:val="nil"/>
              <w:bottom w:val="nil"/>
              <w:right w:val="nil"/>
            </w:tcBorders>
            <w:shd w:val="clear" w:color="auto" w:fill="auto"/>
          </w:tcPr>
          <w:p w14:paraId="15AA7D93" w14:textId="330BBF32" w:rsidR="006400C6" w:rsidRPr="006400C6" w:rsidRDefault="006400C6" w:rsidP="00500943">
            <w:pPr>
              <w:rPr>
                <w:b/>
                <w:bCs/>
                <w:color w:val="000000"/>
              </w:rPr>
            </w:pPr>
            <w:r w:rsidRPr="006400C6">
              <w:rPr>
                <w:b/>
                <w:bCs/>
                <w:color w:val="000000"/>
              </w:rPr>
              <w:t>4.0.</w:t>
            </w:r>
          </w:p>
        </w:tc>
        <w:tc>
          <w:tcPr>
            <w:tcW w:w="8425" w:type="dxa"/>
            <w:tcBorders>
              <w:top w:val="nil"/>
              <w:left w:val="nil"/>
              <w:bottom w:val="nil"/>
              <w:right w:val="nil"/>
            </w:tcBorders>
            <w:shd w:val="clear" w:color="auto" w:fill="auto"/>
          </w:tcPr>
          <w:p w14:paraId="5802672D" w14:textId="77777777" w:rsidR="006400C6" w:rsidRPr="00044242" w:rsidRDefault="006400C6" w:rsidP="006400C6">
            <w:pPr>
              <w:rPr>
                <w:b/>
              </w:rPr>
            </w:pPr>
            <w:r w:rsidRPr="00044242">
              <w:rPr>
                <w:b/>
              </w:rPr>
              <w:t>TECHNICAL HOUSING STANDARDS –</w:t>
            </w:r>
          </w:p>
          <w:p w14:paraId="6F3D1E4F" w14:textId="77777777" w:rsidR="006400C6" w:rsidRDefault="006400C6" w:rsidP="006400C6">
            <w:pPr>
              <w:rPr>
                <w:b/>
              </w:rPr>
            </w:pPr>
            <w:r w:rsidRPr="00044242">
              <w:rPr>
                <w:b/>
              </w:rPr>
              <w:t>NATIONALLY DESCRIBED SPACE STANDARD (MARCH 2015)</w:t>
            </w:r>
          </w:p>
          <w:p w14:paraId="48A02A66" w14:textId="77777777" w:rsidR="006400C6" w:rsidRPr="008C26CB" w:rsidRDefault="006400C6" w:rsidP="00500943">
            <w:pPr>
              <w:rPr>
                <w:color w:val="000000"/>
              </w:rPr>
            </w:pPr>
          </w:p>
        </w:tc>
      </w:tr>
      <w:tr w:rsidR="006400C6" w:rsidRPr="00BD7D84" w14:paraId="248FA6A8" w14:textId="77777777" w:rsidTr="000C217D">
        <w:tc>
          <w:tcPr>
            <w:tcW w:w="851" w:type="dxa"/>
            <w:tcBorders>
              <w:top w:val="nil"/>
              <w:left w:val="nil"/>
              <w:bottom w:val="nil"/>
              <w:right w:val="nil"/>
            </w:tcBorders>
            <w:shd w:val="clear" w:color="auto" w:fill="auto"/>
          </w:tcPr>
          <w:p w14:paraId="1ECA517F" w14:textId="77777777" w:rsidR="006400C6" w:rsidRPr="008C26CB" w:rsidRDefault="006400C6" w:rsidP="006400C6">
            <w:pPr>
              <w:rPr>
                <w:color w:val="000000"/>
              </w:rPr>
            </w:pPr>
          </w:p>
        </w:tc>
        <w:tc>
          <w:tcPr>
            <w:tcW w:w="8425" w:type="dxa"/>
            <w:tcBorders>
              <w:top w:val="nil"/>
              <w:left w:val="nil"/>
              <w:bottom w:val="nil"/>
              <w:right w:val="nil"/>
            </w:tcBorders>
            <w:shd w:val="clear" w:color="auto" w:fill="auto"/>
          </w:tcPr>
          <w:p w14:paraId="2EB0F14E" w14:textId="77777777" w:rsidR="006400C6" w:rsidRDefault="006400C6" w:rsidP="006400C6">
            <w:pPr>
              <w:rPr>
                <w:b/>
                <w:bCs/>
              </w:rPr>
            </w:pPr>
            <w:r w:rsidRPr="00D20F5E">
              <w:rPr>
                <w:b/>
                <w:bCs/>
              </w:rPr>
              <w:t>New housing should meet and where possible exceed appropriate minimum space standards</w:t>
            </w:r>
          </w:p>
          <w:p w14:paraId="55261AB2" w14:textId="35790D07" w:rsidR="006400C6" w:rsidRDefault="006400C6" w:rsidP="006400C6">
            <w:pPr>
              <w:rPr>
                <w:b/>
                <w:bCs/>
              </w:rPr>
            </w:pPr>
          </w:p>
          <w:p w14:paraId="4A68E72A" w14:textId="0D4602C2" w:rsidR="006400C6" w:rsidRPr="000C217D" w:rsidRDefault="006400C6" w:rsidP="006400C6">
            <w:pPr>
              <w:rPr>
                <w:b/>
                <w:bCs/>
              </w:rPr>
            </w:pPr>
            <w:r w:rsidRPr="000C217D">
              <w:rPr>
                <w:b/>
                <w:bCs/>
              </w:rPr>
              <w:t>This section will confirm the existing dwelling’s compliance with this standard, without any extensions or modifications being required.</w:t>
            </w:r>
          </w:p>
          <w:p w14:paraId="4424DB4C" w14:textId="77777777" w:rsidR="006400C6" w:rsidRDefault="006400C6" w:rsidP="006400C6"/>
          <w:p w14:paraId="13209103" w14:textId="51E47337" w:rsidR="006400C6" w:rsidRDefault="006400C6" w:rsidP="006400C6">
            <w:r>
              <w:t>This standard deals with internal space within new dwellings and are suitable for application across all tenures. It sets out requirements for the Gross Internal (floor) Area of new dwellings at a defined level of occupancy as well as floor areas and dimensions for key parts of the home, notably bedrooms, storage and floor to ceiling height.</w:t>
            </w:r>
          </w:p>
          <w:p w14:paraId="53CD2BCD" w14:textId="77777777" w:rsidR="006400C6" w:rsidRDefault="006400C6" w:rsidP="006400C6">
            <w:pPr>
              <w:rPr>
                <w:b/>
                <w:bCs/>
              </w:rPr>
            </w:pPr>
          </w:p>
          <w:p w14:paraId="2300BE45" w14:textId="77777777" w:rsidR="006400C6" w:rsidRDefault="006400C6" w:rsidP="006400C6">
            <w:r>
              <w:t>Minimum floor areas and room widths for bedrooms and minimum floor areas for storage are also an integral part of the space standard. They cannot be used in isolation from other parts of the design standard or removed from it.</w:t>
            </w:r>
          </w:p>
          <w:p w14:paraId="6E9022E6" w14:textId="77777777" w:rsidR="006400C6" w:rsidRDefault="006400C6" w:rsidP="006400C6">
            <w:pPr>
              <w:rPr>
                <w:b/>
                <w:bCs/>
              </w:rPr>
            </w:pPr>
          </w:p>
          <w:p w14:paraId="2A97B67C" w14:textId="01162CD2" w:rsidR="006400C6" w:rsidRDefault="006400C6" w:rsidP="006400C6">
            <w:r>
              <w:t>The Gross Internal Area of a dwelling is defined as the total floor space measured between the internal faces of perimeter walls1 that enclose the dwelling. This includes partitions, structural elements, cupboards, ducts, flights of stairs and voids above stairs. The Gross Internal Area should be measured and denoted in square metres (m2)</w:t>
            </w:r>
          </w:p>
          <w:p w14:paraId="4AC2237E" w14:textId="77777777" w:rsidR="006400C6" w:rsidRDefault="006400C6" w:rsidP="006400C6"/>
          <w:p w14:paraId="1940804D" w14:textId="77777777" w:rsidR="006400C6" w:rsidRPr="00044242" w:rsidRDefault="006400C6" w:rsidP="006400C6">
            <w:pPr>
              <w:rPr>
                <w:b/>
              </w:rPr>
            </w:pPr>
            <w:r w:rsidRPr="00044242">
              <w:rPr>
                <w:b/>
              </w:rPr>
              <w:t xml:space="preserve">Technical requirements 10. </w:t>
            </w:r>
          </w:p>
          <w:p w14:paraId="5A86C7DD" w14:textId="77777777" w:rsidR="006400C6" w:rsidRDefault="006400C6" w:rsidP="006400C6">
            <w:r>
              <w:t xml:space="preserve">The standard requires that: </w:t>
            </w:r>
          </w:p>
          <w:p w14:paraId="7FAE4478" w14:textId="77777777" w:rsidR="006400C6" w:rsidRDefault="006400C6" w:rsidP="006400C6">
            <w:r>
              <w:t xml:space="preserve">a) The dwelling provides at least the gross internal floor area and built-in storage area set out in Table 1 </w:t>
            </w:r>
          </w:p>
          <w:p w14:paraId="5B85B1F8" w14:textId="77777777" w:rsidR="006400C6" w:rsidRDefault="006400C6" w:rsidP="006400C6"/>
          <w:p w14:paraId="33095308" w14:textId="6F9BF6F3" w:rsidR="006400C6" w:rsidRDefault="006400C6" w:rsidP="006400C6">
            <w:r>
              <w:t xml:space="preserve">Number of Bedrooms                     : 2no </w:t>
            </w:r>
          </w:p>
          <w:p w14:paraId="07C32EE1" w14:textId="62FDC524" w:rsidR="006400C6" w:rsidRDefault="006400C6" w:rsidP="006400C6">
            <w:r>
              <w:t>Number of bed spaces (persons)  : 3 persons</w:t>
            </w:r>
          </w:p>
          <w:p w14:paraId="65EA2076" w14:textId="5424CAB7" w:rsidR="006400C6" w:rsidRDefault="006400C6" w:rsidP="006400C6">
            <w:r>
              <w:t>Minimum gross internal area for one storey:    61.00m2</w:t>
            </w:r>
          </w:p>
          <w:p w14:paraId="61EC4DF2" w14:textId="744C473A" w:rsidR="006400C6" w:rsidRDefault="006400C6" w:rsidP="006400C6">
            <w:r>
              <w:t>Actual gross internal area                                 :    63.90m2</w:t>
            </w:r>
          </w:p>
          <w:p w14:paraId="41771927" w14:textId="77777777" w:rsidR="006400C6" w:rsidRDefault="006400C6" w:rsidP="006400C6"/>
          <w:p w14:paraId="110CB7A6" w14:textId="77777777" w:rsidR="006400C6" w:rsidRPr="00D20F5E" w:rsidRDefault="006400C6" w:rsidP="006400C6">
            <w:r>
              <w:t>b) a dwelling with two or more bed-spaces has at least one double (or twin) bedroom</w:t>
            </w:r>
          </w:p>
          <w:p w14:paraId="2FEE23E9" w14:textId="17587B49" w:rsidR="006400C6" w:rsidRDefault="006400C6" w:rsidP="006400C6">
            <w:r>
              <w:t xml:space="preserve">      This will be the case</w:t>
            </w:r>
          </w:p>
          <w:p w14:paraId="5DE47BDB" w14:textId="77777777" w:rsidR="006400C6" w:rsidRDefault="006400C6" w:rsidP="006400C6"/>
          <w:p w14:paraId="21707513" w14:textId="77777777" w:rsidR="006400C6" w:rsidRDefault="006400C6" w:rsidP="006400C6">
            <w:r>
              <w:t>c. in order to provide one bed space, a single bedroom has a floor area of at least 7.5m2 and is at least 2.15m wide</w:t>
            </w:r>
          </w:p>
          <w:p w14:paraId="72481EAF" w14:textId="5D720A95" w:rsidR="006400C6" w:rsidRDefault="006400C6" w:rsidP="006400C6">
            <w:r>
              <w:t>Bedroom 1: 3.10 m width x 2.90 m depth (8.99m2)</w:t>
            </w:r>
          </w:p>
          <w:p w14:paraId="53CE1609" w14:textId="7B8BF5BD" w:rsidR="006400C6" w:rsidRDefault="006400C6" w:rsidP="006400C6">
            <w:r>
              <w:t>Bedroom 2: 3.10m width  x 2.50 m depth (7.75m2)</w:t>
            </w:r>
          </w:p>
          <w:p w14:paraId="68DB8534" w14:textId="77777777" w:rsidR="006400C6" w:rsidRDefault="006400C6" w:rsidP="006400C6"/>
          <w:p w14:paraId="48920205" w14:textId="77777777" w:rsidR="006400C6" w:rsidRDefault="006400C6" w:rsidP="006400C6">
            <w:r>
              <w:t>d. in order to provide two bed spaces, a double (or twin bedroom) has a floor area of at least 11.5m2</w:t>
            </w:r>
          </w:p>
          <w:p w14:paraId="24644366" w14:textId="77777777" w:rsidR="006400C6" w:rsidRDefault="006400C6" w:rsidP="006400C6">
            <w:r>
              <w:t>Refer to c) above</w:t>
            </w:r>
          </w:p>
          <w:p w14:paraId="357A61C5" w14:textId="77777777" w:rsidR="006400C6" w:rsidRDefault="006400C6" w:rsidP="006400C6"/>
          <w:p w14:paraId="33058182" w14:textId="435F501E" w:rsidR="006400C6" w:rsidRDefault="006400C6" w:rsidP="006400C6">
            <w:r>
              <w:t>e) one double (or twin bedroom) is at least 2.75m wide and every other double (or twin) bedroom is at least 2.55m wide</w:t>
            </w:r>
          </w:p>
          <w:p w14:paraId="754621E1" w14:textId="77777777" w:rsidR="006400C6" w:rsidRDefault="006400C6" w:rsidP="006400C6">
            <w:r>
              <w:lastRenderedPageBreak/>
              <w:t>Refer to c) above</w:t>
            </w:r>
          </w:p>
          <w:p w14:paraId="1E8EA3C9" w14:textId="77777777" w:rsidR="006400C6" w:rsidRDefault="006400C6" w:rsidP="006400C6"/>
          <w:p w14:paraId="612E10FD" w14:textId="77777777" w:rsidR="006400C6" w:rsidRDefault="006400C6" w:rsidP="006400C6">
            <w:r>
              <w:t xml:space="preserve">f. any area with a headroom of less than 1.5m is not counted within the Gross Internal Area unless used solely for storage (if the area under the stairs is to be used for storage, assume a general floor area of 1m2 within the Gross Internal Area) </w:t>
            </w:r>
          </w:p>
          <w:p w14:paraId="3F4E91E0" w14:textId="77777777" w:rsidR="006400C6" w:rsidRDefault="006400C6" w:rsidP="006400C6">
            <w:r>
              <w:t>No headroom less than 1.50m throughout</w:t>
            </w:r>
          </w:p>
          <w:p w14:paraId="44FAF75B" w14:textId="77777777" w:rsidR="006400C6" w:rsidRDefault="006400C6" w:rsidP="006400C6"/>
          <w:p w14:paraId="6AF04947" w14:textId="77777777" w:rsidR="006400C6" w:rsidRDefault="006400C6" w:rsidP="006400C6">
            <w:r>
              <w:t xml:space="preserve">g) any other area that is used solely for storage and has a headroom of 900- 1500mm (such as under eaves) is counted at 50% of its floor area, and any area lower than 900mm is not counted at all </w:t>
            </w:r>
          </w:p>
          <w:p w14:paraId="52A5252A" w14:textId="24D76709" w:rsidR="006400C6" w:rsidRPr="006400C6" w:rsidRDefault="006400C6" w:rsidP="006400C6">
            <w:r>
              <w:t>Not applicable throughout.</w:t>
            </w:r>
          </w:p>
        </w:tc>
      </w:tr>
      <w:tr w:rsidR="006400C6" w:rsidRPr="00BD7D84" w14:paraId="00515897" w14:textId="77777777" w:rsidTr="000C217D">
        <w:tc>
          <w:tcPr>
            <w:tcW w:w="851" w:type="dxa"/>
            <w:tcBorders>
              <w:top w:val="nil"/>
              <w:left w:val="nil"/>
              <w:bottom w:val="nil"/>
              <w:right w:val="nil"/>
            </w:tcBorders>
            <w:shd w:val="clear" w:color="auto" w:fill="auto"/>
          </w:tcPr>
          <w:p w14:paraId="09FC4B05" w14:textId="77777777" w:rsidR="006400C6" w:rsidRPr="008C26CB" w:rsidRDefault="006400C6" w:rsidP="00500943">
            <w:pPr>
              <w:rPr>
                <w:color w:val="000000"/>
              </w:rPr>
            </w:pPr>
          </w:p>
        </w:tc>
        <w:tc>
          <w:tcPr>
            <w:tcW w:w="8425" w:type="dxa"/>
            <w:tcBorders>
              <w:top w:val="nil"/>
              <w:left w:val="nil"/>
              <w:bottom w:val="nil"/>
              <w:right w:val="nil"/>
            </w:tcBorders>
            <w:shd w:val="clear" w:color="auto" w:fill="auto"/>
          </w:tcPr>
          <w:p w14:paraId="2ED6C507" w14:textId="77777777" w:rsidR="006400C6" w:rsidRPr="008C26CB" w:rsidRDefault="006400C6" w:rsidP="00500943">
            <w:pPr>
              <w:rPr>
                <w:color w:val="000000"/>
              </w:rPr>
            </w:pPr>
          </w:p>
        </w:tc>
      </w:tr>
    </w:tbl>
    <w:p w14:paraId="0CE2177B" w14:textId="2C05140C" w:rsidR="007C2BA5" w:rsidRDefault="007C2BA5" w:rsidP="008C26CB">
      <w:pPr>
        <w:rPr>
          <w:color w:val="000000"/>
        </w:rPr>
      </w:pPr>
    </w:p>
    <w:p w14:paraId="58AB90A4" w14:textId="77777777" w:rsidR="007C2BA5" w:rsidRDefault="007C2BA5" w:rsidP="00BD7D84">
      <w:pPr>
        <w:ind w:left="720"/>
        <w:rPr>
          <w:color w:val="000000"/>
        </w:rPr>
      </w:pPr>
    </w:p>
    <w:p w14:paraId="48D8BDF1" w14:textId="77777777" w:rsidR="007C2BA5" w:rsidRDefault="007C2BA5" w:rsidP="00BD7D84">
      <w:pPr>
        <w:ind w:left="720"/>
        <w:rPr>
          <w:color w:val="000000"/>
        </w:rPr>
      </w:pPr>
    </w:p>
    <w:p w14:paraId="3DFBA2A3" w14:textId="77777777" w:rsidR="007C2BA5" w:rsidRDefault="007C2BA5" w:rsidP="00BD7D84">
      <w:pPr>
        <w:ind w:left="720"/>
        <w:rPr>
          <w:color w:val="000000"/>
        </w:rPr>
      </w:pPr>
    </w:p>
    <w:p w14:paraId="799B2A1E" w14:textId="77777777" w:rsidR="007C2BA5" w:rsidRPr="00323325" w:rsidRDefault="007C2BA5" w:rsidP="00BD7D84">
      <w:pPr>
        <w:ind w:left="720"/>
        <w:rPr>
          <w:color w:val="000000"/>
        </w:rPr>
      </w:pPr>
    </w:p>
    <w:p w14:paraId="50ABB81C" w14:textId="77777777" w:rsidR="0033238D" w:rsidRPr="0033238D" w:rsidRDefault="0033238D" w:rsidP="00BD7D84">
      <w:pPr>
        <w:ind w:left="720"/>
        <w:rPr>
          <w:color w:val="000000"/>
        </w:rPr>
      </w:pPr>
    </w:p>
    <w:sectPr w:rsidR="0033238D" w:rsidRPr="0033238D" w:rsidSect="00E925D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78240" w14:textId="77777777" w:rsidR="00321D80" w:rsidRDefault="00321D80" w:rsidP="007C2BA5">
      <w:r>
        <w:separator/>
      </w:r>
    </w:p>
  </w:endnote>
  <w:endnote w:type="continuationSeparator" w:id="0">
    <w:p w14:paraId="4DB3CDD1" w14:textId="77777777" w:rsidR="00321D80" w:rsidRDefault="00321D80" w:rsidP="007C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61B1F" w14:textId="77777777" w:rsidR="00BD7D84" w:rsidRDefault="00BD7D84">
    <w:pPr>
      <w:pStyle w:val="Footer"/>
      <w:jc w:val="center"/>
    </w:pPr>
    <w:r>
      <w:fldChar w:fldCharType="begin"/>
    </w:r>
    <w:r>
      <w:instrText xml:space="preserve"> PAGE   \* MERGEFORMAT </w:instrText>
    </w:r>
    <w:r>
      <w:fldChar w:fldCharType="separate"/>
    </w:r>
    <w:r w:rsidR="00DA05E0">
      <w:rPr>
        <w:noProof/>
      </w:rPr>
      <w:t>2</w:t>
    </w:r>
    <w:r>
      <w:rPr>
        <w:noProof/>
      </w:rPr>
      <w:fldChar w:fldCharType="end"/>
    </w:r>
  </w:p>
  <w:p w14:paraId="7C9B403C" w14:textId="77777777" w:rsidR="007C2BA5" w:rsidRDefault="007C2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050A2" w14:textId="77777777" w:rsidR="00321D80" w:rsidRDefault="00321D80" w:rsidP="007C2BA5">
      <w:r>
        <w:separator/>
      </w:r>
    </w:p>
  </w:footnote>
  <w:footnote w:type="continuationSeparator" w:id="0">
    <w:p w14:paraId="3AE23CF1" w14:textId="77777777" w:rsidR="00321D80" w:rsidRDefault="00321D80" w:rsidP="007C2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8D1"/>
    <w:multiLevelType w:val="hybridMultilevel"/>
    <w:tmpl w:val="E0883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248DE"/>
    <w:multiLevelType w:val="hybridMultilevel"/>
    <w:tmpl w:val="85163F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42105"/>
    <w:multiLevelType w:val="hybridMultilevel"/>
    <w:tmpl w:val="740A0474"/>
    <w:lvl w:ilvl="0" w:tplc="D1AA24A6">
      <w:start w:val="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24E5DC8"/>
    <w:multiLevelType w:val="hybridMultilevel"/>
    <w:tmpl w:val="EB76C092"/>
    <w:lvl w:ilvl="0" w:tplc="217E6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886EF9"/>
    <w:multiLevelType w:val="hybridMultilevel"/>
    <w:tmpl w:val="619C1036"/>
    <w:lvl w:ilvl="0" w:tplc="B98A9CBC">
      <w:start w:val="1"/>
      <w:numFmt w:val="lowerRoman"/>
      <w:lvlText w:val="%1)"/>
      <w:lvlJc w:val="left"/>
      <w:pPr>
        <w:ind w:left="1170" w:hanging="720"/>
      </w:pPr>
      <w:rPr>
        <w:rFonts w:ascii="Calibri" w:hAnsi="Calibri" w:cs="Calibri" w:hint="default"/>
        <w:b/>
        <w:sz w:val="22"/>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328F52A9"/>
    <w:multiLevelType w:val="hybridMultilevel"/>
    <w:tmpl w:val="7E841EC4"/>
    <w:lvl w:ilvl="0" w:tplc="8A52D628">
      <w:start w:val="1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D3560"/>
    <w:multiLevelType w:val="hybridMultilevel"/>
    <w:tmpl w:val="C7D259C4"/>
    <w:lvl w:ilvl="0" w:tplc="8E8AD1BC">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B5707"/>
    <w:multiLevelType w:val="multilevel"/>
    <w:tmpl w:val="F1166CBC"/>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B87E73"/>
    <w:multiLevelType w:val="multilevel"/>
    <w:tmpl w:val="B1DE125A"/>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7C41F0"/>
    <w:multiLevelType w:val="hybridMultilevel"/>
    <w:tmpl w:val="2F6A4CBE"/>
    <w:lvl w:ilvl="0" w:tplc="F5962A10">
      <w:start w:val="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A3B7F"/>
    <w:multiLevelType w:val="hybridMultilevel"/>
    <w:tmpl w:val="BE1CE8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397A77"/>
    <w:multiLevelType w:val="multilevel"/>
    <w:tmpl w:val="EE52401A"/>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FA2ACB"/>
    <w:multiLevelType w:val="multilevel"/>
    <w:tmpl w:val="F5C40560"/>
    <w:lvl w:ilvl="0">
      <w:start w:val="1"/>
      <w:numFmt w:val="decimal"/>
      <w:lvlText w:val="%1.0."/>
      <w:lvlJc w:val="left"/>
      <w:pPr>
        <w:ind w:left="825" w:hanging="825"/>
      </w:pPr>
      <w:rPr>
        <w:rFonts w:hint="default"/>
      </w:rPr>
    </w:lvl>
    <w:lvl w:ilvl="1">
      <w:start w:val="1"/>
      <w:numFmt w:val="decimal"/>
      <w:lvlText w:val="%1.%2."/>
      <w:lvlJc w:val="left"/>
      <w:pPr>
        <w:ind w:left="1545" w:hanging="825"/>
      </w:pPr>
      <w:rPr>
        <w:rFonts w:hint="default"/>
      </w:rPr>
    </w:lvl>
    <w:lvl w:ilvl="2">
      <w:start w:val="1"/>
      <w:numFmt w:val="decimal"/>
      <w:lvlText w:val="%1.%2.%3."/>
      <w:lvlJc w:val="left"/>
      <w:pPr>
        <w:ind w:left="2265" w:hanging="825"/>
      </w:pPr>
      <w:rPr>
        <w:rFonts w:hint="default"/>
      </w:rPr>
    </w:lvl>
    <w:lvl w:ilvl="3">
      <w:start w:val="1"/>
      <w:numFmt w:val="decimal"/>
      <w:lvlText w:val="%1.%2.%3.%4."/>
      <w:lvlJc w:val="left"/>
      <w:pPr>
        <w:ind w:left="2985" w:hanging="82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73A079F"/>
    <w:multiLevelType w:val="multilevel"/>
    <w:tmpl w:val="1DF243D0"/>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9723DF1"/>
    <w:multiLevelType w:val="hybridMultilevel"/>
    <w:tmpl w:val="58260AD0"/>
    <w:lvl w:ilvl="0" w:tplc="84229D3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224E9"/>
    <w:multiLevelType w:val="hybridMultilevel"/>
    <w:tmpl w:val="5F781D64"/>
    <w:lvl w:ilvl="0" w:tplc="0A3264D2">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D66B43"/>
    <w:multiLevelType w:val="hybridMultilevel"/>
    <w:tmpl w:val="D318B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AC57FB"/>
    <w:multiLevelType w:val="hybridMultilevel"/>
    <w:tmpl w:val="F9780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2C24A8"/>
    <w:multiLevelType w:val="hybridMultilevel"/>
    <w:tmpl w:val="D34E0E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0"/>
  </w:num>
  <w:num w:numId="5">
    <w:abstractNumId w:val="5"/>
  </w:num>
  <w:num w:numId="6">
    <w:abstractNumId w:val="18"/>
  </w:num>
  <w:num w:numId="7">
    <w:abstractNumId w:val="15"/>
  </w:num>
  <w:num w:numId="8">
    <w:abstractNumId w:val="1"/>
  </w:num>
  <w:num w:numId="9">
    <w:abstractNumId w:val="17"/>
  </w:num>
  <w:num w:numId="10">
    <w:abstractNumId w:val="16"/>
  </w:num>
  <w:num w:numId="11">
    <w:abstractNumId w:val="12"/>
  </w:num>
  <w:num w:numId="12">
    <w:abstractNumId w:val="13"/>
  </w:num>
  <w:num w:numId="13">
    <w:abstractNumId w:val="8"/>
  </w:num>
  <w:num w:numId="14">
    <w:abstractNumId w:val="3"/>
  </w:num>
  <w:num w:numId="15">
    <w:abstractNumId w:val="11"/>
  </w:num>
  <w:num w:numId="16">
    <w:abstractNumId w:val="7"/>
  </w:num>
  <w:num w:numId="17">
    <w:abstractNumId w:val="10"/>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isplayBackgroundShape/>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B4"/>
    <w:rsid w:val="00001A84"/>
    <w:rsid w:val="00052D64"/>
    <w:rsid w:val="000611B9"/>
    <w:rsid w:val="00075BCF"/>
    <w:rsid w:val="00076DF6"/>
    <w:rsid w:val="000777CA"/>
    <w:rsid w:val="0008064A"/>
    <w:rsid w:val="000B50B7"/>
    <w:rsid w:val="000C217D"/>
    <w:rsid w:val="000E30C4"/>
    <w:rsid w:val="00100E9A"/>
    <w:rsid w:val="00102DC4"/>
    <w:rsid w:val="00104350"/>
    <w:rsid w:val="001056CF"/>
    <w:rsid w:val="001147ED"/>
    <w:rsid w:val="00132032"/>
    <w:rsid w:val="00146575"/>
    <w:rsid w:val="00157014"/>
    <w:rsid w:val="00165D04"/>
    <w:rsid w:val="00183D63"/>
    <w:rsid w:val="001B5555"/>
    <w:rsid w:val="001B5AC5"/>
    <w:rsid w:val="00214AA4"/>
    <w:rsid w:val="00215233"/>
    <w:rsid w:val="0022503C"/>
    <w:rsid w:val="002322CC"/>
    <w:rsid w:val="002411D1"/>
    <w:rsid w:val="002548F4"/>
    <w:rsid w:val="00262A3B"/>
    <w:rsid w:val="00277BDA"/>
    <w:rsid w:val="00284FA2"/>
    <w:rsid w:val="00286D42"/>
    <w:rsid w:val="002924DD"/>
    <w:rsid w:val="002A37BD"/>
    <w:rsid w:val="002A4C15"/>
    <w:rsid w:val="002A578E"/>
    <w:rsid w:val="002A61D2"/>
    <w:rsid w:val="002C46B5"/>
    <w:rsid w:val="002D2013"/>
    <w:rsid w:val="002E508F"/>
    <w:rsid w:val="002E5FB4"/>
    <w:rsid w:val="002F2567"/>
    <w:rsid w:val="00305639"/>
    <w:rsid w:val="00321D80"/>
    <w:rsid w:val="00323325"/>
    <w:rsid w:val="0033238D"/>
    <w:rsid w:val="0033593F"/>
    <w:rsid w:val="00340C39"/>
    <w:rsid w:val="00345D94"/>
    <w:rsid w:val="00353242"/>
    <w:rsid w:val="00372A97"/>
    <w:rsid w:val="003A6D7A"/>
    <w:rsid w:val="003B71D1"/>
    <w:rsid w:val="003F2F09"/>
    <w:rsid w:val="00430983"/>
    <w:rsid w:val="00432E10"/>
    <w:rsid w:val="004340B0"/>
    <w:rsid w:val="00435E66"/>
    <w:rsid w:val="004409F9"/>
    <w:rsid w:val="00481A80"/>
    <w:rsid w:val="00482D7B"/>
    <w:rsid w:val="00490D4B"/>
    <w:rsid w:val="00496251"/>
    <w:rsid w:val="004A0253"/>
    <w:rsid w:val="004B28DB"/>
    <w:rsid w:val="004E69E1"/>
    <w:rsid w:val="004F6951"/>
    <w:rsid w:val="00500569"/>
    <w:rsid w:val="00500943"/>
    <w:rsid w:val="00502095"/>
    <w:rsid w:val="0054297A"/>
    <w:rsid w:val="00550156"/>
    <w:rsid w:val="00554F60"/>
    <w:rsid w:val="0055640F"/>
    <w:rsid w:val="00560E10"/>
    <w:rsid w:val="005661C3"/>
    <w:rsid w:val="00571C07"/>
    <w:rsid w:val="00573DA9"/>
    <w:rsid w:val="00584B10"/>
    <w:rsid w:val="00586934"/>
    <w:rsid w:val="005A5E90"/>
    <w:rsid w:val="005C1E5A"/>
    <w:rsid w:val="005C2D3C"/>
    <w:rsid w:val="005E0186"/>
    <w:rsid w:val="005E7852"/>
    <w:rsid w:val="0060146B"/>
    <w:rsid w:val="0060256E"/>
    <w:rsid w:val="006400C6"/>
    <w:rsid w:val="006821C8"/>
    <w:rsid w:val="006F2E43"/>
    <w:rsid w:val="006F349A"/>
    <w:rsid w:val="00713EA2"/>
    <w:rsid w:val="00742AAC"/>
    <w:rsid w:val="007761EB"/>
    <w:rsid w:val="00785F08"/>
    <w:rsid w:val="007A5F49"/>
    <w:rsid w:val="007B7AA3"/>
    <w:rsid w:val="007C2BA5"/>
    <w:rsid w:val="007D5810"/>
    <w:rsid w:val="00800780"/>
    <w:rsid w:val="0081171B"/>
    <w:rsid w:val="00816DA0"/>
    <w:rsid w:val="008277AC"/>
    <w:rsid w:val="008312C9"/>
    <w:rsid w:val="00845EC4"/>
    <w:rsid w:val="00857241"/>
    <w:rsid w:val="00873BED"/>
    <w:rsid w:val="008A2B0C"/>
    <w:rsid w:val="008B1C6C"/>
    <w:rsid w:val="008C26CB"/>
    <w:rsid w:val="008F7512"/>
    <w:rsid w:val="00903EE4"/>
    <w:rsid w:val="0091200E"/>
    <w:rsid w:val="00935551"/>
    <w:rsid w:val="00944770"/>
    <w:rsid w:val="00956E51"/>
    <w:rsid w:val="009803C4"/>
    <w:rsid w:val="00996F41"/>
    <w:rsid w:val="009A38D8"/>
    <w:rsid w:val="009A79B4"/>
    <w:rsid w:val="009D3EB1"/>
    <w:rsid w:val="009E5EF8"/>
    <w:rsid w:val="00A11874"/>
    <w:rsid w:val="00A17B1B"/>
    <w:rsid w:val="00A42290"/>
    <w:rsid w:val="00A53F90"/>
    <w:rsid w:val="00A77771"/>
    <w:rsid w:val="00A92540"/>
    <w:rsid w:val="00A96880"/>
    <w:rsid w:val="00A97018"/>
    <w:rsid w:val="00AD4B2C"/>
    <w:rsid w:val="00AE38CC"/>
    <w:rsid w:val="00B0420B"/>
    <w:rsid w:val="00B04B11"/>
    <w:rsid w:val="00B2177D"/>
    <w:rsid w:val="00B42DE9"/>
    <w:rsid w:val="00B62403"/>
    <w:rsid w:val="00B63C05"/>
    <w:rsid w:val="00BA24B8"/>
    <w:rsid w:val="00BB193B"/>
    <w:rsid w:val="00BB4EAB"/>
    <w:rsid w:val="00BD7392"/>
    <w:rsid w:val="00BD7D84"/>
    <w:rsid w:val="00BF36D0"/>
    <w:rsid w:val="00C25FD9"/>
    <w:rsid w:val="00C32006"/>
    <w:rsid w:val="00C517B9"/>
    <w:rsid w:val="00C835BF"/>
    <w:rsid w:val="00C8406B"/>
    <w:rsid w:val="00CA71D1"/>
    <w:rsid w:val="00CB3930"/>
    <w:rsid w:val="00CB4800"/>
    <w:rsid w:val="00CD57F4"/>
    <w:rsid w:val="00CD7506"/>
    <w:rsid w:val="00CE2E16"/>
    <w:rsid w:val="00CE64F6"/>
    <w:rsid w:val="00D12EEC"/>
    <w:rsid w:val="00D22288"/>
    <w:rsid w:val="00D77DC0"/>
    <w:rsid w:val="00DA05E0"/>
    <w:rsid w:val="00DA4729"/>
    <w:rsid w:val="00DC1FA7"/>
    <w:rsid w:val="00DF0A63"/>
    <w:rsid w:val="00DF1B81"/>
    <w:rsid w:val="00E12488"/>
    <w:rsid w:val="00E1625B"/>
    <w:rsid w:val="00E2336C"/>
    <w:rsid w:val="00E32B6E"/>
    <w:rsid w:val="00E36368"/>
    <w:rsid w:val="00E41332"/>
    <w:rsid w:val="00E47479"/>
    <w:rsid w:val="00E7709E"/>
    <w:rsid w:val="00E925DC"/>
    <w:rsid w:val="00E95CE3"/>
    <w:rsid w:val="00EA2C05"/>
    <w:rsid w:val="00EA2EC1"/>
    <w:rsid w:val="00ED381F"/>
    <w:rsid w:val="00ED512D"/>
    <w:rsid w:val="00F020D9"/>
    <w:rsid w:val="00F25C69"/>
    <w:rsid w:val="00F266D4"/>
    <w:rsid w:val="00F43DFE"/>
    <w:rsid w:val="00F5154E"/>
    <w:rsid w:val="00F5422A"/>
    <w:rsid w:val="00F60F9C"/>
    <w:rsid w:val="00F675AC"/>
    <w:rsid w:val="00FA3B17"/>
    <w:rsid w:val="00FB2ED7"/>
    <w:rsid w:val="00FC0D10"/>
    <w:rsid w:val="00FC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2E7F"/>
  <w15:chartTrackingRefBased/>
  <w15:docId w15:val="{DDE4C6DB-37EA-42EC-AC39-70FE82C0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FB4"/>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5FB4"/>
    <w:rPr>
      <w:color w:val="5F5F5F"/>
      <w:u w:val="single"/>
    </w:rPr>
  </w:style>
  <w:style w:type="paragraph" w:styleId="Footer">
    <w:name w:val="footer"/>
    <w:basedOn w:val="Normal"/>
    <w:link w:val="FooterChar"/>
    <w:uiPriority w:val="99"/>
    <w:unhideWhenUsed/>
    <w:rsid w:val="00BA24B8"/>
    <w:pPr>
      <w:tabs>
        <w:tab w:val="center" w:pos="4513"/>
        <w:tab w:val="right" w:pos="9026"/>
      </w:tabs>
    </w:pPr>
  </w:style>
  <w:style w:type="character" w:customStyle="1" w:styleId="FooterChar">
    <w:name w:val="Footer Char"/>
    <w:link w:val="Footer"/>
    <w:uiPriority w:val="99"/>
    <w:rsid w:val="00BA24B8"/>
    <w:rPr>
      <w:sz w:val="22"/>
      <w:szCs w:val="22"/>
      <w:lang w:eastAsia="en-US"/>
    </w:rPr>
  </w:style>
  <w:style w:type="table" w:styleId="TableGrid">
    <w:name w:val="Table Grid"/>
    <w:basedOn w:val="TableNormal"/>
    <w:uiPriority w:val="59"/>
    <w:rsid w:val="00956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729"/>
    <w:pPr>
      <w:ind w:left="720"/>
      <w:contextualSpacing/>
    </w:pPr>
  </w:style>
  <w:style w:type="paragraph" w:styleId="BalloonText">
    <w:name w:val="Balloon Text"/>
    <w:basedOn w:val="Normal"/>
    <w:link w:val="BalloonTextChar"/>
    <w:uiPriority w:val="99"/>
    <w:semiHidden/>
    <w:unhideWhenUsed/>
    <w:rsid w:val="00CD7506"/>
    <w:rPr>
      <w:rFonts w:ascii="Tahoma" w:hAnsi="Tahoma" w:cs="Tahoma"/>
      <w:sz w:val="16"/>
      <w:szCs w:val="16"/>
    </w:rPr>
  </w:style>
  <w:style w:type="character" w:customStyle="1" w:styleId="BalloonTextChar">
    <w:name w:val="Balloon Text Char"/>
    <w:link w:val="BalloonText"/>
    <w:uiPriority w:val="99"/>
    <w:semiHidden/>
    <w:rsid w:val="00CD7506"/>
    <w:rPr>
      <w:rFonts w:ascii="Tahoma" w:hAnsi="Tahoma" w:cs="Tahoma"/>
      <w:sz w:val="16"/>
      <w:szCs w:val="16"/>
      <w:lang w:eastAsia="en-US"/>
    </w:rPr>
  </w:style>
  <w:style w:type="character" w:styleId="Strong">
    <w:name w:val="Strong"/>
    <w:uiPriority w:val="22"/>
    <w:qFormat/>
    <w:rsid w:val="00560E10"/>
    <w:rPr>
      <w:b/>
      <w:bCs/>
    </w:rPr>
  </w:style>
  <w:style w:type="paragraph" w:customStyle="1" w:styleId="Default">
    <w:name w:val="Default"/>
    <w:rsid w:val="00B2177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C2BA5"/>
    <w:pPr>
      <w:tabs>
        <w:tab w:val="center" w:pos="4513"/>
        <w:tab w:val="right" w:pos="9026"/>
      </w:tabs>
    </w:pPr>
  </w:style>
  <w:style w:type="character" w:customStyle="1" w:styleId="HeaderChar">
    <w:name w:val="Header Char"/>
    <w:link w:val="Header"/>
    <w:uiPriority w:val="99"/>
    <w:rsid w:val="007C2BA5"/>
    <w:rPr>
      <w:sz w:val="22"/>
      <w:szCs w:val="22"/>
      <w:lang w:eastAsia="en-US"/>
    </w:rPr>
  </w:style>
  <w:style w:type="character" w:customStyle="1" w:styleId="apple-converted-space">
    <w:name w:val="apple-converted-space"/>
    <w:rsid w:val="00857241"/>
  </w:style>
  <w:style w:type="paragraph" w:styleId="NormalWeb">
    <w:name w:val="Normal (Web)"/>
    <w:basedOn w:val="Normal"/>
    <w:uiPriority w:val="99"/>
    <w:unhideWhenUsed/>
    <w:rsid w:val="006400C6"/>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00B7-48AE-423B-9D18-C5ECA6B5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Neil Williams</cp:lastModifiedBy>
  <cp:revision>3</cp:revision>
  <cp:lastPrinted>2016-09-26T08:43:00Z</cp:lastPrinted>
  <dcterms:created xsi:type="dcterms:W3CDTF">2020-11-09T12:06:00Z</dcterms:created>
  <dcterms:modified xsi:type="dcterms:W3CDTF">2020-11-09T12:13:00Z</dcterms:modified>
</cp:coreProperties>
</file>