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A3A27" w14:textId="77777777" w:rsidR="00462A5B" w:rsidRDefault="00462A5B" w:rsidP="00625CA3">
      <w:pPr>
        <w:rPr>
          <w:rFonts w:ascii="Times New Roman" w:hAnsi="Times New Roman" w:cs="Times New Roman"/>
          <w:b/>
          <w:bCs/>
          <w:sz w:val="32"/>
          <w:szCs w:val="32"/>
        </w:rPr>
      </w:pPr>
    </w:p>
    <w:p w14:paraId="2DBBC875" w14:textId="77777777" w:rsidR="00462A5B" w:rsidRDefault="00462A5B" w:rsidP="00625CA3">
      <w:pPr>
        <w:rPr>
          <w:rFonts w:ascii="Times New Roman" w:hAnsi="Times New Roman" w:cs="Times New Roman"/>
          <w:b/>
          <w:bCs/>
          <w:sz w:val="32"/>
          <w:szCs w:val="32"/>
        </w:rPr>
      </w:pPr>
    </w:p>
    <w:p w14:paraId="42B32B28" w14:textId="1FF5A4B0" w:rsidR="00202173" w:rsidRDefault="004A6539" w:rsidP="00625CA3">
      <w:pPr>
        <w:rPr>
          <w:rFonts w:ascii="Times New Roman" w:hAnsi="Times New Roman" w:cs="Times New Roman"/>
          <w:b/>
          <w:bCs/>
          <w:sz w:val="32"/>
          <w:szCs w:val="32"/>
        </w:rPr>
      </w:pPr>
      <w:r>
        <w:rPr>
          <w:rFonts w:ascii="Times New Roman" w:hAnsi="Times New Roman" w:cs="Times New Roman"/>
          <w:b/>
          <w:bCs/>
          <w:sz w:val="32"/>
          <w:szCs w:val="32"/>
        </w:rPr>
        <w:t>Heritage Statement</w:t>
      </w:r>
    </w:p>
    <w:p w14:paraId="0FEBAD49" w14:textId="4AA393F9" w:rsidR="004044B3" w:rsidRDefault="004044B3" w:rsidP="00625CA3">
      <w:pPr>
        <w:rPr>
          <w:rFonts w:ascii="Times New Roman" w:hAnsi="Times New Roman" w:cs="Times New Roman"/>
          <w:b/>
          <w:bCs/>
          <w:sz w:val="24"/>
          <w:szCs w:val="24"/>
        </w:rPr>
      </w:pPr>
      <w:r>
        <w:rPr>
          <w:rFonts w:ascii="Times New Roman" w:hAnsi="Times New Roman" w:cs="Times New Roman"/>
          <w:b/>
          <w:bCs/>
          <w:sz w:val="24"/>
          <w:szCs w:val="24"/>
        </w:rPr>
        <w:t>The Granary, Shillbrook Manor</w:t>
      </w:r>
      <w:r w:rsidR="001A2C78">
        <w:rPr>
          <w:rFonts w:ascii="Times New Roman" w:hAnsi="Times New Roman" w:cs="Times New Roman"/>
          <w:b/>
          <w:bCs/>
          <w:sz w:val="24"/>
          <w:szCs w:val="24"/>
        </w:rPr>
        <w:t>, Black Bourton, Bampton, OX18 2PD</w:t>
      </w:r>
    </w:p>
    <w:p w14:paraId="00709C2A" w14:textId="4DECE589" w:rsidR="001A2C78" w:rsidRPr="00893F11" w:rsidRDefault="003435DB" w:rsidP="00625CA3">
      <w:pPr>
        <w:rPr>
          <w:rFonts w:ascii="Times New Roman" w:hAnsi="Times New Roman" w:cs="Times New Roman"/>
          <w:b/>
          <w:bCs/>
          <w:sz w:val="24"/>
          <w:szCs w:val="24"/>
        </w:rPr>
      </w:pPr>
      <w:r w:rsidRPr="00893F11">
        <w:rPr>
          <w:rFonts w:ascii="Times New Roman" w:hAnsi="Times New Roman" w:cs="Times New Roman"/>
          <w:b/>
          <w:bCs/>
          <w:sz w:val="24"/>
          <w:szCs w:val="24"/>
        </w:rPr>
        <w:t>Introduction</w:t>
      </w:r>
    </w:p>
    <w:p w14:paraId="142E966F" w14:textId="6B4ADE1F" w:rsidR="003435DB" w:rsidRDefault="003435DB" w:rsidP="00625CA3">
      <w:pPr>
        <w:rPr>
          <w:rFonts w:ascii="Times New Roman" w:hAnsi="Times New Roman" w:cs="Times New Roman"/>
          <w:sz w:val="24"/>
          <w:szCs w:val="24"/>
        </w:rPr>
      </w:pPr>
      <w:r>
        <w:rPr>
          <w:rFonts w:ascii="Times New Roman" w:hAnsi="Times New Roman" w:cs="Times New Roman"/>
          <w:sz w:val="24"/>
          <w:szCs w:val="24"/>
        </w:rPr>
        <w:t xml:space="preserve">This statement is in support of the Listed Building Application for alterations to this dwelling which forms part of </w:t>
      </w:r>
      <w:r w:rsidR="000713F5">
        <w:rPr>
          <w:rFonts w:ascii="Times New Roman" w:hAnsi="Times New Roman" w:cs="Times New Roman"/>
          <w:sz w:val="24"/>
          <w:szCs w:val="24"/>
        </w:rPr>
        <w:t xml:space="preserve">a grade II listed collection of barns that </w:t>
      </w:r>
      <w:r w:rsidR="003E6CA2">
        <w:rPr>
          <w:rFonts w:ascii="Times New Roman" w:hAnsi="Times New Roman" w:cs="Times New Roman"/>
          <w:sz w:val="24"/>
          <w:szCs w:val="24"/>
        </w:rPr>
        <w:t xml:space="preserve">are part of a collection of </w:t>
      </w:r>
      <w:r w:rsidR="004821F9">
        <w:rPr>
          <w:rFonts w:ascii="Times New Roman" w:hAnsi="Times New Roman" w:cs="Times New Roman"/>
          <w:sz w:val="24"/>
          <w:szCs w:val="24"/>
        </w:rPr>
        <w:t xml:space="preserve">estate </w:t>
      </w:r>
      <w:r w:rsidR="003E6CA2">
        <w:rPr>
          <w:rFonts w:ascii="Times New Roman" w:hAnsi="Times New Roman" w:cs="Times New Roman"/>
          <w:sz w:val="24"/>
          <w:szCs w:val="24"/>
        </w:rPr>
        <w:t>buildings including the manor house and other barns.</w:t>
      </w:r>
    </w:p>
    <w:p w14:paraId="36F7F459" w14:textId="2631ED14" w:rsidR="00DA24A2" w:rsidRDefault="00DA24A2" w:rsidP="00625CA3">
      <w:pPr>
        <w:rPr>
          <w:rFonts w:ascii="Times New Roman" w:hAnsi="Times New Roman" w:cs="Times New Roman"/>
          <w:sz w:val="24"/>
          <w:szCs w:val="24"/>
        </w:rPr>
      </w:pPr>
      <w:r>
        <w:rPr>
          <w:rFonts w:ascii="Times New Roman" w:hAnsi="Times New Roman" w:cs="Times New Roman"/>
          <w:sz w:val="24"/>
          <w:szCs w:val="24"/>
        </w:rPr>
        <w:t>The buildings do not fall within a conservation area.</w:t>
      </w:r>
    </w:p>
    <w:p w14:paraId="4E3DABE6" w14:textId="740635FC" w:rsidR="00202173" w:rsidRDefault="00DA24A2" w:rsidP="00625CA3">
      <w:r>
        <w:rPr>
          <w:rFonts w:ascii="Times New Roman" w:hAnsi="Times New Roman" w:cs="Times New Roman"/>
          <w:sz w:val="24"/>
          <w:szCs w:val="24"/>
        </w:rPr>
        <w:t>This statement should be read along</w:t>
      </w:r>
      <w:r w:rsidR="009B4332">
        <w:rPr>
          <w:rFonts w:ascii="Times New Roman" w:hAnsi="Times New Roman" w:cs="Times New Roman"/>
          <w:sz w:val="24"/>
          <w:szCs w:val="24"/>
        </w:rPr>
        <w:t>side the drawings of the proposals</w:t>
      </w:r>
      <w:r w:rsidR="00196145">
        <w:rPr>
          <w:rFonts w:ascii="Times New Roman" w:hAnsi="Times New Roman" w:cs="Times New Roman"/>
          <w:sz w:val="24"/>
          <w:szCs w:val="24"/>
        </w:rPr>
        <w:t xml:space="preserve">.  It is based upon a site visit </w:t>
      </w:r>
      <w:r w:rsidR="00A619C1">
        <w:rPr>
          <w:rFonts w:ascii="Times New Roman" w:hAnsi="Times New Roman" w:cs="Times New Roman"/>
          <w:sz w:val="24"/>
          <w:szCs w:val="24"/>
        </w:rPr>
        <w:t>and on Historic England listing records.</w:t>
      </w:r>
    </w:p>
    <w:p w14:paraId="0CF3D93F" w14:textId="08C7ABB5" w:rsidR="00202173" w:rsidRPr="00893F11" w:rsidRDefault="00893F11" w:rsidP="00625CA3">
      <w:pPr>
        <w:rPr>
          <w:b/>
          <w:bCs/>
        </w:rPr>
      </w:pPr>
      <w:r w:rsidRPr="00893F11">
        <w:rPr>
          <w:b/>
          <w:bCs/>
        </w:rPr>
        <w:t>Extract from Historic England listings</w:t>
      </w:r>
    </w:p>
    <w:p w14:paraId="10A8EB8F" w14:textId="2EF876D7" w:rsidR="00625CA3" w:rsidRDefault="00625CA3" w:rsidP="00625CA3">
      <w:r>
        <w:t>Location</w:t>
      </w:r>
    </w:p>
    <w:p w14:paraId="3B618D77" w14:textId="77777777" w:rsidR="00625CA3" w:rsidRDefault="00625CA3" w:rsidP="00625CA3">
      <w:r>
        <w:t>Statutory Address:</w:t>
      </w:r>
    </w:p>
    <w:p w14:paraId="287CD0C5" w14:textId="77777777" w:rsidR="00625CA3" w:rsidRDefault="00625CA3" w:rsidP="00625CA3">
      <w:r>
        <w:t>RANGE OF FARM BUILDINGS CIRCA 35 METRES TO WEST OF MANOR FARMHOUSE, BAMPTON ROAD</w:t>
      </w:r>
    </w:p>
    <w:p w14:paraId="5761D46E" w14:textId="77777777" w:rsidR="00625CA3" w:rsidRDefault="00625CA3" w:rsidP="00625CA3">
      <w:r>
        <w:t>The building or site itself may lie within the boundary of more than one authority.</w:t>
      </w:r>
    </w:p>
    <w:p w14:paraId="5F1F6902" w14:textId="77777777" w:rsidR="00625CA3" w:rsidRDefault="00625CA3" w:rsidP="00625CA3">
      <w:r>
        <w:t>County:</w:t>
      </w:r>
    </w:p>
    <w:p w14:paraId="530C64E4" w14:textId="77777777" w:rsidR="00625CA3" w:rsidRDefault="00625CA3" w:rsidP="00625CA3">
      <w:r>
        <w:t xml:space="preserve">    Oxfordshire</w:t>
      </w:r>
    </w:p>
    <w:p w14:paraId="1D875FA3" w14:textId="77777777" w:rsidR="00625CA3" w:rsidRDefault="00625CA3" w:rsidP="00625CA3">
      <w:r>
        <w:t>District:</w:t>
      </w:r>
    </w:p>
    <w:p w14:paraId="6D6CBDC3" w14:textId="77777777" w:rsidR="00625CA3" w:rsidRDefault="00625CA3" w:rsidP="00625CA3">
      <w:r>
        <w:t xml:space="preserve">    West Oxfordshire (District Authority)</w:t>
      </w:r>
    </w:p>
    <w:p w14:paraId="7FB8E1F7" w14:textId="77777777" w:rsidR="00625CA3" w:rsidRDefault="00625CA3" w:rsidP="00625CA3">
      <w:r>
        <w:t>Parish:</w:t>
      </w:r>
    </w:p>
    <w:p w14:paraId="72C1B1F2" w14:textId="77777777" w:rsidR="00625CA3" w:rsidRDefault="00625CA3" w:rsidP="00625CA3">
      <w:r>
        <w:t xml:space="preserve">    Black Bourton</w:t>
      </w:r>
    </w:p>
    <w:p w14:paraId="0BD47C71" w14:textId="77777777" w:rsidR="00625CA3" w:rsidRDefault="00625CA3" w:rsidP="00625CA3">
      <w:r>
        <w:t>National Grid Reference:</w:t>
      </w:r>
    </w:p>
    <w:p w14:paraId="54D8528B" w14:textId="2FEBB84B" w:rsidR="00C26526" w:rsidRDefault="00625CA3">
      <w:r>
        <w:t xml:space="preserve">    SP2878903954</w:t>
      </w:r>
    </w:p>
    <w:p w14:paraId="782D1A29" w14:textId="77777777" w:rsidR="00C26526" w:rsidRDefault="00C26526"/>
    <w:p w14:paraId="2991B92C" w14:textId="203B84B7" w:rsidR="00625CA3" w:rsidRDefault="00A17166" w:rsidP="009313D1">
      <w:r w:rsidRPr="00A17166">
        <w:rPr>
          <w:noProof/>
        </w:rPr>
        <w:lastRenderedPageBreak/>
        <w:drawing>
          <wp:inline distT="0" distB="0" distL="0" distR="0" wp14:anchorId="192E0947" wp14:editId="0975F91E">
            <wp:extent cx="5943600" cy="3711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711575"/>
                    </a:xfrm>
                    <a:prstGeom prst="rect">
                      <a:avLst/>
                    </a:prstGeom>
                  </pic:spPr>
                </pic:pic>
              </a:graphicData>
            </a:graphic>
          </wp:inline>
        </w:drawing>
      </w:r>
    </w:p>
    <w:p w14:paraId="27A34E84" w14:textId="0EC35AB9" w:rsidR="009313D1" w:rsidRDefault="00625CA3" w:rsidP="009313D1">
      <w:r>
        <w:t>D</w:t>
      </w:r>
      <w:r w:rsidR="009313D1">
        <w:t>etails</w:t>
      </w:r>
    </w:p>
    <w:p w14:paraId="3F07DA32" w14:textId="77777777" w:rsidR="009313D1" w:rsidRDefault="009313D1" w:rsidP="009313D1">
      <w:r>
        <w:t>SP20SE CARTERTON AND BLACK BOURTON BAMPTON ROAD (north side) Black Bourton 5/148 Range of farm buildings c.35m 17/12/86 to W of Manor Farmhouse</w:t>
      </w:r>
    </w:p>
    <w:p w14:paraId="2B4A8B81" w14:textId="77777777" w:rsidR="009313D1" w:rsidRDefault="009313D1" w:rsidP="009313D1"/>
    <w:p w14:paraId="65D69772" w14:textId="77777777" w:rsidR="009313D1" w:rsidRDefault="009313D1" w:rsidP="009313D1">
      <w:r>
        <w:t>GV II Range of farm buildings, comprising from north to south: barn, lofted stable, stable, cartshed, and granary with cartshed below. Barn is probably late C18 in origin, altered; remainder added mid C19. Coursed rubble limestone with semi-dressed quoins; C20 slate roofs on C20 timbers to barn and lofted stable; stone slate roofs to remainder. Barn has 5 bays, with low vent slits, C20 sliding doors to central opposing cart entries, and square vent holes in right gable end. Lofted stable has 2 stable windows with wooden slat shutters, the right also with C20 fan, a boarded loft opening to centre, stable door to left, and stone steps up to gabled loft door to right. All openings except the last have segmental dressed stone arches. Single storey stable to left, of same build, has one stable door and one window of same type. To left of this is a 4-bay cartshed, under same roof, with wooden posts and small curved braces to front, and C20 trusses. Taller granary at left end of range, has C20 wooden steps up to board door with segmental stone arch and small gable over, and 2-bay cartshed below with shallow arches of dressed stone. Granary retains grain bins. Included for group value. Later stockyard ranges attached to west of this range are not of special architectural interest.</w:t>
      </w:r>
    </w:p>
    <w:p w14:paraId="747CEA78" w14:textId="77777777" w:rsidR="009313D1" w:rsidRDefault="009313D1" w:rsidP="009313D1"/>
    <w:p w14:paraId="35B2C5D7" w14:textId="6F3D0BE0" w:rsidR="009313D1" w:rsidRDefault="009313D1" w:rsidP="009313D1">
      <w:r>
        <w:t>Listing NGR: SP2878903954</w:t>
      </w:r>
    </w:p>
    <w:p w14:paraId="13FD85CA" w14:textId="00026224" w:rsidR="00757435" w:rsidRDefault="00757435" w:rsidP="009313D1"/>
    <w:p w14:paraId="12160D8B" w14:textId="3030B69D" w:rsidR="00C33E4C" w:rsidRPr="00C33E4C" w:rsidRDefault="00C33E4C" w:rsidP="00C33E4C">
      <w:pPr>
        <w:rPr>
          <w:rFonts w:ascii="Times New Roman" w:hAnsi="Times New Roman" w:cs="Times New Roman"/>
          <w:b/>
          <w:bCs/>
          <w:sz w:val="24"/>
          <w:szCs w:val="24"/>
        </w:rPr>
      </w:pPr>
      <w:r w:rsidRPr="00C33E4C">
        <w:rPr>
          <w:rFonts w:ascii="Times New Roman" w:hAnsi="Times New Roman" w:cs="Times New Roman"/>
          <w:b/>
          <w:bCs/>
          <w:sz w:val="24"/>
          <w:szCs w:val="24"/>
        </w:rPr>
        <w:lastRenderedPageBreak/>
        <w:t>Legislat</w:t>
      </w:r>
      <w:r w:rsidR="00352AB6">
        <w:rPr>
          <w:rFonts w:ascii="Times New Roman" w:hAnsi="Times New Roman" w:cs="Times New Roman"/>
          <w:b/>
          <w:bCs/>
          <w:sz w:val="24"/>
          <w:szCs w:val="24"/>
        </w:rPr>
        <w:t>ion and policies referred to:</w:t>
      </w:r>
      <w:r w:rsidRPr="00C33E4C">
        <w:rPr>
          <w:rFonts w:ascii="Times New Roman" w:hAnsi="Times New Roman" w:cs="Times New Roman"/>
          <w:b/>
          <w:bCs/>
          <w:sz w:val="24"/>
          <w:szCs w:val="24"/>
        </w:rPr>
        <w:t xml:space="preserve"> </w:t>
      </w:r>
    </w:p>
    <w:p w14:paraId="73125101" w14:textId="369D8FEB" w:rsidR="00C33E4C" w:rsidRPr="00C33E4C" w:rsidRDefault="00C33E4C" w:rsidP="00C33E4C">
      <w:pPr>
        <w:rPr>
          <w:rFonts w:ascii="Times New Roman" w:hAnsi="Times New Roman" w:cs="Times New Roman"/>
          <w:sz w:val="24"/>
          <w:szCs w:val="24"/>
        </w:rPr>
      </w:pPr>
      <w:r w:rsidRPr="00C33E4C">
        <w:rPr>
          <w:rFonts w:ascii="Times New Roman" w:hAnsi="Times New Roman" w:cs="Times New Roman"/>
          <w:sz w:val="24"/>
          <w:szCs w:val="24"/>
        </w:rPr>
        <w:t xml:space="preserve">Legislation relating to listed buildings (and conservation areas) is contained in the Planning (Listed Buildings and Conservation Areas) Act 1990. Section 66 of the Act places a duty to have special regard to the desirability of preserving listed buildings and their settings. </w:t>
      </w:r>
    </w:p>
    <w:p w14:paraId="20BA8675" w14:textId="56862AD2" w:rsidR="00C33E4C" w:rsidRPr="00C33E4C" w:rsidRDefault="00C33E4C" w:rsidP="00C33E4C">
      <w:pPr>
        <w:rPr>
          <w:rFonts w:ascii="Times New Roman" w:hAnsi="Times New Roman" w:cs="Times New Roman"/>
          <w:sz w:val="24"/>
          <w:szCs w:val="24"/>
        </w:rPr>
      </w:pPr>
      <w:r w:rsidRPr="00C33E4C">
        <w:rPr>
          <w:rFonts w:ascii="Times New Roman" w:hAnsi="Times New Roman" w:cs="Times New Roman"/>
          <w:sz w:val="24"/>
          <w:szCs w:val="24"/>
        </w:rPr>
        <w:t xml:space="preserve">Conservation (for heritage policy) is defined in Annex 2 of the National Planning Policy Framework (NPPF, February 2019) as “the process of maintaining and managing change to a heritage asset in a way that sustains and, where appropriate, enhances its significance”. </w:t>
      </w:r>
      <w:r w:rsidR="007A2002">
        <w:rPr>
          <w:rFonts w:ascii="Times New Roman" w:hAnsi="Times New Roman" w:cs="Times New Roman"/>
          <w:sz w:val="24"/>
          <w:szCs w:val="24"/>
        </w:rPr>
        <w:t>T</w:t>
      </w:r>
      <w:r w:rsidRPr="00C33E4C">
        <w:rPr>
          <w:rFonts w:ascii="Times New Roman" w:hAnsi="Times New Roman" w:cs="Times New Roman"/>
          <w:sz w:val="24"/>
          <w:szCs w:val="24"/>
        </w:rPr>
        <w:t xml:space="preserve">his definition does not suggest conservation to be the same as preservation. Indeed, what sets conservation apart is the emphasis on maintaining and managing change and not on a reactive approach to resisting change. </w:t>
      </w:r>
      <w:r w:rsidR="00F96AC7">
        <w:rPr>
          <w:rFonts w:ascii="Times New Roman" w:hAnsi="Times New Roman" w:cs="Times New Roman"/>
          <w:sz w:val="24"/>
          <w:szCs w:val="24"/>
        </w:rPr>
        <w:t xml:space="preserve">Relevant to this proposal </w:t>
      </w:r>
      <w:r w:rsidRPr="00C33E4C">
        <w:rPr>
          <w:rFonts w:ascii="Times New Roman" w:hAnsi="Times New Roman" w:cs="Times New Roman"/>
          <w:sz w:val="24"/>
          <w:szCs w:val="24"/>
        </w:rPr>
        <w:t xml:space="preserve">conservation could amount to a change that at least sustains the significance of a heritage asset. </w:t>
      </w:r>
    </w:p>
    <w:p w14:paraId="2EC4E9FB" w14:textId="0743E9B1" w:rsidR="00C33E4C" w:rsidRPr="00C33E4C" w:rsidRDefault="00C33E4C" w:rsidP="00C33E4C">
      <w:pPr>
        <w:rPr>
          <w:rFonts w:ascii="Times New Roman" w:hAnsi="Times New Roman" w:cs="Times New Roman"/>
          <w:sz w:val="24"/>
          <w:szCs w:val="24"/>
        </w:rPr>
      </w:pPr>
      <w:r w:rsidRPr="00C33E4C">
        <w:rPr>
          <w:rFonts w:ascii="Times New Roman" w:hAnsi="Times New Roman" w:cs="Times New Roman"/>
          <w:sz w:val="24"/>
          <w:szCs w:val="24"/>
        </w:rPr>
        <w:t xml:space="preserve">Paragraph 195 deals with substantial harm to, or total loss of, significance of a designated heritage asset. Paragraph 196 deals with cases of less than substantial harm and notes that any such harm should be weighed against the public benefits of the proposal.  </w:t>
      </w:r>
    </w:p>
    <w:p w14:paraId="535113DB" w14:textId="4B66ABBB" w:rsidR="00C33E4C" w:rsidRPr="00C33E4C" w:rsidRDefault="00C33E4C" w:rsidP="00C33E4C">
      <w:pPr>
        <w:rPr>
          <w:rFonts w:ascii="Times New Roman" w:hAnsi="Times New Roman" w:cs="Times New Roman"/>
          <w:sz w:val="24"/>
          <w:szCs w:val="24"/>
        </w:rPr>
      </w:pPr>
      <w:r w:rsidRPr="00C33E4C">
        <w:rPr>
          <w:rFonts w:ascii="Times New Roman" w:hAnsi="Times New Roman" w:cs="Times New Roman"/>
          <w:sz w:val="24"/>
          <w:szCs w:val="24"/>
        </w:rPr>
        <w:t xml:space="preserve">Heritage protection and the conservation of heritage assets are recognised as of benefit to the public. Paragraph 020 of the National Planning Practice Guidance (NPPG) </w:t>
      </w:r>
      <w:r w:rsidR="009D416E">
        <w:rPr>
          <w:rFonts w:ascii="Times New Roman" w:hAnsi="Times New Roman" w:cs="Times New Roman"/>
          <w:sz w:val="24"/>
          <w:szCs w:val="24"/>
        </w:rPr>
        <w:t>is relevant</w:t>
      </w:r>
      <w:r w:rsidR="00BA7ABF">
        <w:rPr>
          <w:rFonts w:ascii="Times New Roman" w:hAnsi="Times New Roman" w:cs="Times New Roman"/>
          <w:sz w:val="24"/>
          <w:szCs w:val="24"/>
        </w:rPr>
        <w:t xml:space="preserve">.  </w:t>
      </w:r>
    </w:p>
    <w:p w14:paraId="767BA4B0" w14:textId="5E2C9CAE" w:rsidR="00757435" w:rsidRDefault="00C33E4C" w:rsidP="00C33E4C">
      <w:pPr>
        <w:rPr>
          <w:rFonts w:ascii="Times New Roman" w:hAnsi="Times New Roman" w:cs="Times New Roman"/>
          <w:sz w:val="24"/>
          <w:szCs w:val="24"/>
        </w:rPr>
      </w:pPr>
      <w:r w:rsidRPr="00C33E4C">
        <w:rPr>
          <w:rFonts w:ascii="Times New Roman" w:hAnsi="Times New Roman" w:cs="Times New Roman"/>
          <w:sz w:val="24"/>
          <w:szCs w:val="24"/>
        </w:rPr>
        <w:t>Relevant local planning policy is covered within the West Oxfordshire Local Plan 2013 (adopted September 2018) in which Policy HE9: Historic Environment</w:t>
      </w:r>
      <w:r w:rsidR="00BA7ABF" w:rsidRPr="00C33E4C">
        <w:rPr>
          <w:rFonts w:ascii="Times New Roman" w:hAnsi="Times New Roman" w:cs="Times New Roman"/>
          <w:sz w:val="24"/>
          <w:szCs w:val="24"/>
        </w:rPr>
        <w:t xml:space="preserve">. </w:t>
      </w:r>
    </w:p>
    <w:p w14:paraId="3DC75E29" w14:textId="08F60FBF" w:rsidR="008675C9" w:rsidRDefault="00E205A0" w:rsidP="00C33E4C">
      <w:pPr>
        <w:rPr>
          <w:rFonts w:ascii="Times New Roman" w:hAnsi="Times New Roman" w:cs="Times New Roman"/>
          <w:b/>
          <w:bCs/>
          <w:sz w:val="24"/>
          <w:szCs w:val="24"/>
        </w:rPr>
      </w:pPr>
      <w:r>
        <w:rPr>
          <w:rFonts w:ascii="Times New Roman" w:hAnsi="Times New Roman" w:cs="Times New Roman"/>
          <w:b/>
          <w:bCs/>
          <w:sz w:val="24"/>
          <w:szCs w:val="24"/>
        </w:rPr>
        <w:t>Understanding the asset</w:t>
      </w:r>
      <w:r w:rsidR="00C47C18">
        <w:rPr>
          <w:rFonts w:ascii="Times New Roman" w:hAnsi="Times New Roman" w:cs="Times New Roman"/>
          <w:b/>
          <w:bCs/>
          <w:sz w:val="24"/>
          <w:szCs w:val="24"/>
        </w:rPr>
        <w:t>’s historical development</w:t>
      </w:r>
    </w:p>
    <w:p w14:paraId="2CFE4220" w14:textId="6F2F8D57" w:rsidR="00AB2337" w:rsidRPr="00AB2337" w:rsidRDefault="00AB2337" w:rsidP="00AB2337">
      <w:pPr>
        <w:rPr>
          <w:rFonts w:ascii="Times New Roman" w:hAnsi="Times New Roman" w:cs="Times New Roman"/>
          <w:sz w:val="24"/>
          <w:szCs w:val="24"/>
        </w:rPr>
      </w:pPr>
      <w:r w:rsidRPr="00AB2337">
        <w:rPr>
          <w:rFonts w:ascii="Times New Roman" w:hAnsi="Times New Roman" w:cs="Times New Roman"/>
          <w:sz w:val="24"/>
          <w:szCs w:val="24"/>
        </w:rPr>
        <w:t xml:space="preserve">This dwelling was formed out of redundant estate barns to Shillbrook Manor in 1989 planning approval W87/1679 </w:t>
      </w:r>
    </w:p>
    <w:p w14:paraId="313B9BF2" w14:textId="77777777" w:rsidR="00AB2337" w:rsidRPr="00AB2337" w:rsidRDefault="00AB2337" w:rsidP="00AB2337">
      <w:pPr>
        <w:rPr>
          <w:rFonts w:ascii="Times New Roman" w:hAnsi="Times New Roman" w:cs="Times New Roman"/>
          <w:sz w:val="24"/>
          <w:szCs w:val="24"/>
        </w:rPr>
      </w:pPr>
      <w:r w:rsidRPr="00AB2337">
        <w:rPr>
          <w:rFonts w:ascii="Times New Roman" w:hAnsi="Times New Roman" w:cs="Times New Roman"/>
          <w:sz w:val="24"/>
          <w:szCs w:val="24"/>
        </w:rPr>
        <w:t>We have prepared a sketch of the layout of the barns, prior to conversion ( Plan ‘A’ attached).</w:t>
      </w:r>
    </w:p>
    <w:p w14:paraId="62C6BDC5" w14:textId="56DA4FFB" w:rsidR="00EA1451" w:rsidRDefault="00AB2337" w:rsidP="00AB2337">
      <w:pPr>
        <w:rPr>
          <w:rFonts w:ascii="Times New Roman" w:hAnsi="Times New Roman" w:cs="Times New Roman"/>
          <w:sz w:val="24"/>
          <w:szCs w:val="24"/>
        </w:rPr>
      </w:pPr>
      <w:r w:rsidRPr="00AB2337">
        <w:rPr>
          <w:rFonts w:ascii="Times New Roman" w:hAnsi="Times New Roman" w:cs="Times New Roman"/>
          <w:sz w:val="24"/>
          <w:szCs w:val="24"/>
        </w:rPr>
        <w:t>The conversion of the barns to dwellings in the planning approval referred to, resulted in some significant alteration of the original cellular structure of the buildings, notably the splitting of the threshing barn and implement shed (see plan ‘B’ attached).  The resultant dwelling layout can be seen on plan ‘C’, attached, and is formed from part of the original threshing barn and implement shed, plus a barn with hayloft over and stable.</w:t>
      </w:r>
    </w:p>
    <w:p w14:paraId="5209FD27" w14:textId="5036A22C" w:rsidR="00EA1451" w:rsidRDefault="00EA1451" w:rsidP="00C33E4C">
      <w:pPr>
        <w:rPr>
          <w:rFonts w:ascii="Times New Roman" w:hAnsi="Times New Roman" w:cs="Times New Roman"/>
          <w:b/>
          <w:bCs/>
          <w:sz w:val="24"/>
          <w:szCs w:val="24"/>
        </w:rPr>
      </w:pPr>
      <w:r>
        <w:rPr>
          <w:rFonts w:ascii="Times New Roman" w:hAnsi="Times New Roman" w:cs="Times New Roman"/>
          <w:b/>
          <w:bCs/>
          <w:sz w:val="24"/>
          <w:szCs w:val="24"/>
        </w:rPr>
        <w:t>Statement of significance</w:t>
      </w:r>
    </w:p>
    <w:p w14:paraId="4A5BA9E8" w14:textId="3EF983C8" w:rsidR="00EA60C4" w:rsidRDefault="007F2B46" w:rsidP="00C33E4C">
      <w:pPr>
        <w:rPr>
          <w:rFonts w:ascii="Times New Roman" w:hAnsi="Times New Roman" w:cs="Times New Roman"/>
          <w:sz w:val="24"/>
          <w:szCs w:val="24"/>
        </w:rPr>
      </w:pPr>
      <w:r>
        <w:rPr>
          <w:rFonts w:ascii="Times New Roman" w:hAnsi="Times New Roman" w:cs="Times New Roman"/>
          <w:sz w:val="24"/>
          <w:szCs w:val="24"/>
        </w:rPr>
        <w:t>This building derives its heritage significance from its relationship within the old manor complex</w:t>
      </w:r>
      <w:r w:rsidR="00E60635">
        <w:rPr>
          <w:rFonts w:ascii="Times New Roman" w:hAnsi="Times New Roman" w:cs="Times New Roman"/>
          <w:sz w:val="24"/>
          <w:szCs w:val="24"/>
        </w:rPr>
        <w:t xml:space="preserve">, by </w:t>
      </w:r>
      <w:r w:rsidR="00667BCA">
        <w:rPr>
          <w:rFonts w:ascii="Times New Roman" w:hAnsi="Times New Roman" w:cs="Times New Roman"/>
          <w:sz w:val="24"/>
          <w:szCs w:val="24"/>
        </w:rPr>
        <w:t>its external form</w:t>
      </w:r>
      <w:r w:rsidR="00CC0080">
        <w:rPr>
          <w:rFonts w:ascii="Times New Roman" w:hAnsi="Times New Roman" w:cs="Times New Roman"/>
          <w:sz w:val="24"/>
          <w:szCs w:val="24"/>
        </w:rPr>
        <w:t xml:space="preserve"> and materials</w:t>
      </w:r>
      <w:r w:rsidR="003E2845">
        <w:rPr>
          <w:rFonts w:ascii="Times New Roman" w:hAnsi="Times New Roman" w:cs="Times New Roman"/>
          <w:sz w:val="24"/>
          <w:szCs w:val="24"/>
        </w:rPr>
        <w:t>, particularly roofscapes</w:t>
      </w:r>
      <w:r w:rsidR="00FC0879">
        <w:rPr>
          <w:rFonts w:ascii="Times New Roman" w:hAnsi="Times New Roman" w:cs="Times New Roman"/>
          <w:sz w:val="24"/>
          <w:szCs w:val="24"/>
        </w:rPr>
        <w:t>, which are typical of this period of estate buildings</w:t>
      </w:r>
      <w:r w:rsidR="00A74E89">
        <w:rPr>
          <w:rFonts w:ascii="Times New Roman" w:hAnsi="Times New Roman" w:cs="Times New Roman"/>
          <w:sz w:val="24"/>
          <w:szCs w:val="24"/>
        </w:rPr>
        <w:t xml:space="preserve">  This is particularly relevant to its public</w:t>
      </w:r>
      <w:r w:rsidR="00171BF0">
        <w:rPr>
          <w:rFonts w:ascii="Times New Roman" w:hAnsi="Times New Roman" w:cs="Times New Roman"/>
          <w:sz w:val="24"/>
          <w:szCs w:val="24"/>
        </w:rPr>
        <w:t xml:space="preserve"> significance.  </w:t>
      </w:r>
      <w:r w:rsidR="00EA60C4">
        <w:rPr>
          <w:rFonts w:ascii="Times New Roman" w:hAnsi="Times New Roman" w:cs="Times New Roman"/>
          <w:sz w:val="24"/>
          <w:szCs w:val="24"/>
        </w:rPr>
        <w:t>Unfortunately, the conversion from agricultural outbuildings to dwellings was not done</w:t>
      </w:r>
      <w:r w:rsidR="00695750">
        <w:rPr>
          <w:rFonts w:ascii="Times New Roman" w:hAnsi="Times New Roman" w:cs="Times New Roman"/>
          <w:sz w:val="24"/>
          <w:szCs w:val="24"/>
        </w:rPr>
        <w:t xml:space="preserve"> duly respecting the internal cellular layout of the original barns, or in detailing of windows, doors etc.</w:t>
      </w:r>
    </w:p>
    <w:p w14:paraId="77CEC6ED" w14:textId="52B26842" w:rsidR="00970460" w:rsidRDefault="00970460" w:rsidP="00C33E4C">
      <w:pPr>
        <w:rPr>
          <w:rFonts w:ascii="Times New Roman" w:hAnsi="Times New Roman" w:cs="Times New Roman"/>
          <w:sz w:val="24"/>
          <w:szCs w:val="24"/>
        </w:rPr>
      </w:pPr>
    </w:p>
    <w:p w14:paraId="03205E92" w14:textId="77777777" w:rsidR="001D73B3" w:rsidRDefault="001D73B3" w:rsidP="00C33E4C">
      <w:pPr>
        <w:rPr>
          <w:rFonts w:ascii="Times New Roman" w:hAnsi="Times New Roman" w:cs="Times New Roman"/>
          <w:b/>
          <w:bCs/>
          <w:sz w:val="24"/>
          <w:szCs w:val="24"/>
        </w:rPr>
      </w:pPr>
    </w:p>
    <w:p w14:paraId="1621987D" w14:textId="77777777" w:rsidR="001D73B3" w:rsidRDefault="001D73B3" w:rsidP="00C33E4C">
      <w:pPr>
        <w:rPr>
          <w:rFonts w:ascii="Times New Roman" w:hAnsi="Times New Roman" w:cs="Times New Roman"/>
          <w:b/>
          <w:bCs/>
          <w:sz w:val="24"/>
          <w:szCs w:val="24"/>
        </w:rPr>
      </w:pPr>
    </w:p>
    <w:p w14:paraId="2156970D" w14:textId="0BD8C59C" w:rsidR="00970460" w:rsidRDefault="00970460" w:rsidP="00C33E4C">
      <w:pPr>
        <w:rPr>
          <w:rFonts w:ascii="Times New Roman" w:hAnsi="Times New Roman" w:cs="Times New Roman"/>
          <w:b/>
          <w:bCs/>
          <w:sz w:val="24"/>
          <w:szCs w:val="24"/>
        </w:rPr>
      </w:pPr>
      <w:r>
        <w:rPr>
          <w:rFonts w:ascii="Times New Roman" w:hAnsi="Times New Roman" w:cs="Times New Roman"/>
          <w:b/>
          <w:bCs/>
          <w:sz w:val="24"/>
          <w:szCs w:val="24"/>
        </w:rPr>
        <w:lastRenderedPageBreak/>
        <w:t>Proposals and impact statement</w:t>
      </w:r>
    </w:p>
    <w:p w14:paraId="5FF2BAD1" w14:textId="4550419A" w:rsidR="00970460" w:rsidRDefault="000861A9" w:rsidP="00C33E4C">
      <w:pPr>
        <w:rPr>
          <w:rFonts w:ascii="Times New Roman" w:hAnsi="Times New Roman" w:cs="Times New Roman"/>
          <w:sz w:val="24"/>
          <w:szCs w:val="24"/>
        </w:rPr>
      </w:pPr>
      <w:r>
        <w:rPr>
          <w:rFonts w:ascii="Times New Roman" w:hAnsi="Times New Roman" w:cs="Times New Roman"/>
          <w:sz w:val="24"/>
          <w:szCs w:val="24"/>
        </w:rPr>
        <w:t>The proposals relate to alterations to the internal arrangement of spaces</w:t>
      </w:r>
      <w:r w:rsidR="00F44F9E">
        <w:rPr>
          <w:rFonts w:ascii="Times New Roman" w:hAnsi="Times New Roman" w:cs="Times New Roman"/>
          <w:sz w:val="24"/>
          <w:szCs w:val="24"/>
        </w:rPr>
        <w:t xml:space="preserve">, and minor alterations to </w:t>
      </w:r>
      <w:r w:rsidR="00313C64">
        <w:rPr>
          <w:rFonts w:ascii="Times New Roman" w:hAnsi="Times New Roman" w:cs="Times New Roman"/>
          <w:sz w:val="24"/>
          <w:szCs w:val="24"/>
        </w:rPr>
        <w:t>fenestration, all of which date from the conversion to a dwelling</w:t>
      </w:r>
      <w:r w:rsidR="00F34AC5">
        <w:rPr>
          <w:rFonts w:ascii="Times New Roman" w:hAnsi="Times New Roman" w:cs="Times New Roman"/>
          <w:sz w:val="24"/>
          <w:szCs w:val="24"/>
        </w:rPr>
        <w:t xml:space="preserve">, and no heritage </w:t>
      </w:r>
      <w:r w:rsidR="00E76065">
        <w:rPr>
          <w:rFonts w:ascii="Times New Roman" w:hAnsi="Times New Roman" w:cs="Times New Roman"/>
          <w:sz w:val="24"/>
          <w:szCs w:val="24"/>
        </w:rPr>
        <w:t xml:space="preserve">values of the original barns will be </w:t>
      </w:r>
      <w:r w:rsidR="007354B3">
        <w:rPr>
          <w:rFonts w:ascii="Times New Roman" w:hAnsi="Times New Roman" w:cs="Times New Roman"/>
          <w:sz w:val="24"/>
          <w:szCs w:val="24"/>
        </w:rPr>
        <w:t xml:space="preserve">further </w:t>
      </w:r>
      <w:r w:rsidR="00E76065">
        <w:rPr>
          <w:rFonts w:ascii="Times New Roman" w:hAnsi="Times New Roman" w:cs="Times New Roman"/>
          <w:sz w:val="24"/>
          <w:szCs w:val="24"/>
        </w:rPr>
        <w:t>affected</w:t>
      </w:r>
      <w:r w:rsidR="00D363E8">
        <w:rPr>
          <w:rFonts w:ascii="Times New Roman" w:hAnsi="Times New Roman" w:cs="Times New Roman"/>
          <w:sz w:val="24"/>
          <w:szCs w:val="24"/>
        </w:rPr>
        <w:t>.</w:t>
      </w:r>
    </w:p>
    <w:p w14:paraId="66818AF1" w14:textId="3571EAE6" w:rsidR="009414D0" w:rsidRDefault="004F35B3" w:rsidP="00C33E4C">
      <w:pPr>
        <w:rPr>
          <w:rFonts w:ascii="Times New Roman" w:hAnsi="Times New Roman" w:cs="Times New Roman"/>
          <w:sz w:val="24"/>
          <w:szCs w:val="24"/>
        </w:rPr>
      </w:pPr>
      <w:r>
        <w:rPr>
          <w:rFonts w:ascii="Times New Roman" w:hAnsi="Times New Roman" w:cs="Times New Roman"/>
          <w:sz w:val="24"/>
          <w:szCs w:val="24"/>
        </w:rPr>
        <w:t xml:space="preserve">None of the proposals will </w:t>
      </w:r>
      <w:r w:rsidR="00DE12E4">
        <w:rPr>
          <w:rFonts w:ascii="Times New Roman" w:hAnsi="Times New Roman" w:cs="Times New Roman"/>
          <w:sz w:val="24"/>
          <w:szCs w:val="24"/>
        </w:rPr>
        <w:t xml:space="preserve">impact on historic fabric, but re-arrange/update </w:t>
      </w:r>
      <w:r w:rsidR="00D6666F">
        <w:rPr>
          <w:rFonts w:ascii="Times New Roman" w:hAnsi="Times New Roman" w:cs="Times New Roman"/>
          <w:sz w:val="24"/>
          <w:szCs w:val="24"/>
        </w:rPr>
        <w:t>work that was carried out to convert the original barns to dwellings.</w:t>
      </w:r>
      <w:r w:rsidR="001A672D">
        <w:rPr>
          <w:rFonts w:ascii="Times New Roman" w:hAnsi="Times New Roman" w:cs="Times New Roman"/>
          <w:sz w:val="24"/>
          <w:szCs w:val="24"/>
        </w:rPr>
        <w:t xml:space="preserve">  Indeed, the proposals to the kitchen area will re-instate a greater </w:t>
      </w:r>
      <w:r w:rsidR="00FE0A5B">
        <w:rPr>
          <w:rFonts w:ascii="Times New Roman" w:hAnsi="Times New Roman" w:cs="Times New Roman"/>
          <w:sz w:val="24"/>
          <w:szCs w:val="24"/>
        </w:rPr>
        <w:t>part of the original ‘implement shed’ into one space.</w:t>
      </w:r>
    </w:p>
    <w:p w14:paraId="6BE9F201" w14:textId="2F11B91C" w:rsidR="00EA1451" w:rsidRDefault="00110B81" w:rsidP="00C33E4C">
      <w:pPr>
        <w:rPr>
          <w:rFonts w:ascii="Times New Roman" w:hAnsi="Times New Roman" w:cs="Times New Roman"/>
          <w:sz w:val="24"/>
          <w:szCs w:val="24"/>
        </w:rPr>
      </w:pPr>
      <w:r>
        <w:rPr>
          <w:rFonts w:ascii="Times New Roman" w:hAnsi="Times New Roman" w:cs="Times New Roman"/>
          <w:sz w:val="24"/>
          <w:szCs w:val="24"/>
        </w:rPr>
        <w:t xml:space="preserve">The proposals to the fenestration will compliment the existing style as </w:t>
      </w:r>
      <w:r w:rsidR="00DA5CFF">
        <w:rPr>
          <w:rFonts w:ascii="Times New Roman" w:hAnsi="Times New Roman" w:cs="Times New Roman"/>
          <w:sz w:val="24"/>
          <w:szCs w:val="24"/>
        </w:rPr>
        <w:t>implemented on the conversion to a dwelling</w:t>
      </w:r>
      <w:r w:rsidR="00CC7BBF">
        <w:rPr>
          <w:rFonts w:ascii="Times New Roman" w:hAnsi="Times New Roman" w:cs="Times New Roman"/>
          <w:sz w:val="24"/>
          <w:szCs w:val="24"/>
        </w:rPr>
        <w:t xml:space="preserve"> </w:t>
      </w:r>
      <w:r w:rsidR="00DA5CFF">
        <w:rPr>
          <w:rFonts w:ascii="Times New Roman" w:hAnsi="Times New Roman" w:cs="Times New Roman"/>
          <w:sz w:val="24"/>
          <w:szCs w:val="24"/>
        </w:rPr>
        <w:t>and</w:t>
      </w:r>
      <w:r w:rsidR="00CC7BBF">
        <w:rPr>
          <w:rFonts w:ascii="Times New Roman" w:hAnsi="Times New Roman" w:cs="Times New Roman"/>
          <w:sz w:val="24"/>
          <w:szCs w:val="24"/>
        </w:rPr>
        <w:t xml:space="preserve">, </w:t>
      </w:r>
      <w:r w:rsidR="00DA5CFF">
        <w:rPr>
          <w:rFonts w:ascii="Times New Roman" w:hAnsi="Times New Roman" w:cs="Times New Roman"/>
          <w:sz w:val="24"/>
          <w:szCs w:val="24"/>
        </w:rPr>
        <w:t xml:space="preserve">retain the visual </w:t>
      </w:r>
      <w:r w:rsidR="006E04AB">
        <w:rPr>
          <w:rFonts w:ascii="Times New Roman" w:hAnsi="Times New Roman" w:cs="Times New Roman"/>
          <w:sz w:val="24"/>
          <w:szCs w:val="24"/>
        </w:rPr>
        <w:t>timber posts that support the roof</w:t>
      </w:r>
      <w:r w:rsidR="007B2D44">
        <w:rPr>
          <w:rFonts w:ascii="Times New Roman" w:hAnsi="Times New Roman" w:cs="Times New Roman"/>
          <w:sz w:val="24"/>
          <w:szCs w:val="24"/>
        </w:rPr>
        <w:t xml:space="preserve"> </w:t>
      </w:r>
      <w:r w:rsidR="006E04AB">
        <w:rPr>
          <w:rFonts w:ascii="Times New Roman" w:hAnsi="Times New Roman" w:cs="Times New Roman"/>
          <w:sz w:val="24"/>
          <w:szCs w:val="24"/>
        </w:rPr>
        <w:t>and</w:t>
      </w:r>
      <w:r w:rsidR="007B2D44">
        <w:rPr>
          <w:rFonts w:ascii="Times New Roman" w:hAnsi="Times New Roman" w:cs="Times New Roman"/>
          <w:sz w:val="24"/>
          <w:szCs w:val="24"/>
        </w:rPr>
        <w:t xml:space="preserve">, </w:t>
      </w:r>
      <w:r w:rsidR="007B2D44" w:rsidRPr="007B2D44">
        <w:rPr>
          <w:rFonts w:ascii="Times New Roman" w:hAnsi="Times New Roman" w:cs="Times New Roman"/>
          <w:sz w:val="24"/>
          <w:szCs w:val="24"/>
        </w:rPr>
        <w:t>by removing the stonework</w:t>
      </w:r>
      <w:r w:rsidR="007B2D44">
        <w:rPr>
          <w:rFonts w:ascii="Times New Roman" w:hAnsi="Times New Roman" w:cs="Times New Roman"/>
          <w:sz w:val="24"/>
          <w:szCs w:val="24"/>
        </w:rPr>
        <w:t>,</w:t>
      </w:r>
      <w:r w:rsidR="006E04AB">
        <w:rPr>
          <w:rFonts w:ascii="Times New Roman" w:hAnsi="Times New Roman" w:cs="Times New Roman"/>
          <w:sz w:val="24"/>
          <w:szCs w:val="24"/>
        </w:rPr>
        <w:t xml:space="preserve"> open up the </w:t>
      </w:r>
      <w:r w:rsidR="00716271">
        <w:rPr>
          <w:rFonts w:ascii="Times New Roman" w:hAnsi="Times New Roman" w:cs="Times New Roman"/>
          <w:sz w:val="24"/>
          <w:szCs w:val="24"/>
        </w:rPr>
        <w:t>end bay, adjacent to the main building, as it would</w:t>
      </w:r>
      <w:r w:rsidR="00BD2E44">
        <w:rPr>
          <w:rFonts w:ascii="Times New Roman" w:hAnsi="Times New Roman" w:cs="Times New Roman"/>
          <w:sz w:val="24"/>
          <w:szCs w:val="24"/>
        </w:rPr>
        <w:t xml:space="preserve"> </w:t>
      </w:r>
      <w:r w:rsidR="00CC7BBF">
        <w:rPr>
          <w:rFonts w:ascii="Times New Roman" w:hAnsi="Times New Roman" w:cs="Times New Roman"/>
          <w:sz w:val="24"/>
          <w:szCs w:val="24"/>
        </w:rPr>
        <w:t>have been</w:t>
      </w:r>
      <w:r w:rsidR="00693A7D">
        <w:rPr>
          <w:rFonts w:ascii="Times New Roman" w:hAnsi="Times New Roman" w:cs="Times New Roman"/>
          <w:sz w:val="24"/>
          <w:szCs w:val="24"/>
        </w:rPr>
        <w:t xml:space="preserve"> </w:t>
      </w:r>
      <w:r w:rsidR="00693A7D" w:rsidRPr="00693A7D">
        <w:rPr>
          <w:rFonts w:ascii="Times New Roman" w:hAnsi="Times New Roman" w:cs="Times New Roman"/>
          <w:sz w:val="24"/>
          <w:szCs w:val="24"/>
        </w:rPr>
        <w:t>historically</w:t>
      </w:r>
      <w:r w:rsidR="00693A7D">
        <w:rPr>
          <w:rFonts w:ascii="Times New Roman" w:hAnsi="Times New Roman" w:cs="Times New Roman"/>
          <w:sz w:val="24"/>
          <w:szCs w:val="24"/>
        </w:rPr>
        <w:t>.</w:t>
      </w:r>
    </w:p>
    <w:p w14:paraId="72839BCF" w14:textId="193E74B7" w:rsidR="00764F3B" w:rsidRDefault="00693A7D" w:rsidP="00C33E4C">
      <w:pPr>
        <w:rPr>
          <w:rFonts w:ascii="Times New Roman" w:hAnsi="Times New Roman" w:cs="Times New Roman"/>
          <w:sz w:val="24"/>
          <w:szCs w:val="24"/>
        </w:rPr>
      </w:pPr>
      <w:r>
        <w:rPr>
          <w:rFonts w:ascii="Times New Roman" w:hAnsi="Times New Roman" w:cs="Times New Roman"/>
          <w:sz w:val="24"/>
          <w:szCs w:val="24"/>
        </w:rPr>
        <w:t xml:space="preserve">The changes proposed to the building </w:t>
      </w:r>
      <w:r w:rsidR="00824614">
        <w:rPr>
          <w:rFonts w:ascii="Times New Roman" w:hAnsi="Times New Roman" w:cs="Times New Roman"/>
          <w:sz w:val="24"/>
          <w:szCs w:val="24"/>
        </w:rPr>
        <w:t xml:space="preserve">arising from the proposed works do not harm the significance of this listed building, so paragraphs 195 and 196 of the NPPF are not </w:t>
      </w:r>
      <w:r w:rsidR="00D87F67">
        <w:rPr>
          <w:rFonts w:ascii="Times New Roman" w:hAnsi="Times New Roman" w:cs="Times New Roman"/>
          <w:sz w:val="24"/>
          <w:szCs w:val="24"/>
        </w:rPr>
        <w:t>relevant.  In particular they do not</w:t>
      </w:r>
      <w:r w:rsidR="00D538F5">
        <w:rPr>
          <w:rFonts w:ascii="Times New Roman" w:hAnsi="Times New Roman" w:cs="Times New Roman"/>
          <w:sz w:val="24"/>
          <w:szCs w:val="24"/>
        </w:rPr>
        <w:t xml:space="preserve"> harm the public benefit derived from these buildings.</w:t>
      </w:r>
      <w:r w:rsidR="00E06C38">
        <w:rPr>
          <w:rFonts w:ascii="Times New Roman" w:hAnsi="Times New Roman" w:cs="Times New Roman"/>
          <w:sz w:val="24"/>
          <w:szCs w:val="24"/>
        </w:rPr>
        <w:t xml:space="preserve">  The proposals preserve the building with regard to </w:t>
      </w:r>
      <w:r w:rsidR="00764F3B">
        <w:rPr>
          <w:rFonts w:ascii="Times New Roman" w:hAnsi="Times New Roman" w:cs="Times New Roman"/>
          <w:sz w:val="24"/>
          <w:szCs w:val="24"/>
        </w:rPr>
        <w:t xml:space="preserve">the duty under </w:t>
      </w:r>
      <w:r w:rsidR="008E35FB">
        <w:rPr>
          <w:rFonts w:ascii="Times New Roman" w:hAnsi="Times New Roman" w:cs="Times New Roman"/>
          <w:sz w:val="24"/>
          <w:szCs w:val="24"/>
        </w:rPr>
        <w:t>section 66</w:t>
      </w:r>
      <w:r w:rsidR="003E3FDC">
        <w:rPr>
          <w:rFonts w:ascii="Times New Roman" w:hAnsi="Times New Roman" w:cs="Times New Roman"/>
          <w:sz w:val="24"/>
          <w:szCs w:val="24"/>
        </w:rPr>
        <w:t>(1) of the 1990 Planning Act.</w:t>
      </w:r>
    </w:p>
    <w:p w14:paraId="629524A3" w14:textId="0EAB5D74" w:rsidR="003E3FDC" w:rsidRDefault="003E3FDC" w:rsidP="00C33E4C">
      <w:pPr>
        <w:rPr>
          <w:rFonts w:ascii="Times New Roman" w:hAnsi="Times New Roman" w:cs="Times New Roman"/>
          <w:sz w:val="24"/>
          <w:szCs w:val="24"/>
        </w:rPr>
      </w:pPr>
    </w:p>
    <w:p w14:paraId="5F2CF59E" w14:textId="49CB58E8" w:rsidR="003E3FDC" w:rsidRDefault="003E3FDC" w:rsidP="00C33E4C">
      <w:pPr>
        <w:rPr>
          <w:rFonts w:ascii="Times New Roman" w:hAnsi="Times New Roman" w:cs="Times New Roman"/>
          <w:b/>
          <w:bCs/>
          <w:sz w:val="24"/>
          <w:szCs w:val="24"/>
        </w:rPr>
      </w:pPr>
      <w:r>
        <w:rPr>
          <w:rFonts w:ascii="Times New Roman" w:hAnsi="Times New Roman" w:cs="Times New Roman"/>
          <w:b/>
          <w:bCs/>
          <w:sz w:val="24"/>
          <w:szCs w:val="24"/>
        </w:rPr>
        <w:t>Graham Bannell</w:t>
      </w:r>
    </w:p>
    <w:p w14:paraId="191E966C" w14:textId="7C6689BF" w:rsidR="00616674" w:rsidRPr="003E3FDC" w:rsidRDefault="00616674" w:rsidP="00C33E4C">
      <w:pPr>
        <w:rPr>
          <w:rFonts w:ascii="Times New Roman" w:hAnsi="Times New Roman" w:cs="Times New Roman"/>
          <w:b/>
          <w:bCs/>
          <w:sz w:val="24"/>
          <w:szCs w:val="24"/>
        </w:rPr>
      </w:pPr>
      <w:r>
        <w:rPr>
          <w:rFonts w:ascii="Times New Roman" w:hAnsi="Times New Roman" w:cs="Times New Roman"/>
          <w:b/>
          <w:bCs/>
          <w:sz w:val="24"/>
          <w:szCs w:val="24"/>
        </w:rPr>
        <w:t>February 2021</w:t>
      </w:r>
    </w:p>
    <w:sectPr w:rsidR="00616674" w:rsidRPr="003E3F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66"/>
    <w:rsid w:val="000209C5"/>
    <w:rsid w:val="000713F5"/>
    <w:rsid w:val="000861A9"/>
    <w:rsid w:val="00110B81"/>
    <w:rsid w:val="00171BF0"/>
    <w:rsid w:val="00196145"/>
    <w:rsid w:val="001A2C78"/>
    <w:rsid w:val="001A672D"/>
    <w:rsid w:val="001D73B3"/>
    <w:rsid w:val="00202173"/>
    <w:rsid w:val="00243554"/>
    <w:rsid w:val="00313C64"/>
    <w:rsid w:val="003435DB"/>
    <w:rsid w:val="00352AB6"/>
    <w:rsid w:val="003D69BF"/>
    <w:rsid w:val="003E2845"/>
    <w:rsid w:val="003E3FDC"/>
    <w:rsid w:val="003E6CA2"/>
    <w:rsid w:val="004044B3"/>
    <w:rsid w:val="00462A5B"/>
    <w:rsid w:val="004821F9"/>
    <w:rsid w:val="004A6539"/>
    <w:rsid w:val="004F1987"/>
    <w:rsid w:val="004F35B3"/>
    <w:rsid w:val="00616674"/>
    <w:rsid w:val="00625CA3"/>
    <w:rsid w:val="00667BCA"/>
    <w:rsid w:val="00693A7D"/>
    <w:rsid w:val="00695750"/>
    <w:rsid w:val="006E04AB"/>
    <w:rsid w:val="007039F0"/>
    <w:rsid w:val="00716271"/>
    <w:rsid w:val="007354B3"/>
    <w:rsid w:val="00757435"/>
    <w:rsid w:val="00764F3B"/>
    <w:rsid w:val="007711CA"/>
    <w:rsid w:val="007A2002"/>
    <w:rsid w:val="007B2D44"/>
    <w:rsid w:val="007F2B46"/>
    <w:rsid w:val="00824614"/>
    <w:rsid w:val="008675C9"/>
    <w:rsid w:val="008827E6"/>
    <w:rsid w:val="00893F11"/>
    <w:rsid w:val="008E35FB"/>
    <w:rsid w:val="00923404"/>
    <w:rsid w:val="009313D1"/>
    <w:rsid w:val="009414D0"/>
    <w:rsid w:val="00970460"/>
    <w:rsid w:val="009B4332"/>
    <w:rsid w:val="009D416E"/>
    <w:rsid w:val="00A11CB3"/>
    <w:rsid w:val="00A17166"/>
    <w:rsid w:val="00A619C1"/>
    <w:rsid w:val="00A74E89"/>
    <w:rsid w:val="00AB2337"/>
    <w:rsid w:val="00AF5A95"/>
    <w:rsid w:val="00BA7ABF"/>
    <w:rsid w:val="00BD2E44"/>
    <w:rsid w:val="00BF7904"/>
    <w:rsid w:val="00C26526"/>
    <w:rsid w:val="00C33E4C"/>
    <w:rsid w:val="00C47C18"/>
    <w:rsid w:val="00CC0080"/>
    <w:rsid w:val="00CC7BBF"/>
    <w:rsid w:val="00D04F6E"/>
    <w:rsid w:val="00D363E8"/>
    <w:rsid w:val="00D538F5"/>
    <w:rsid w:val="00D6666F"/>
    <w:rsid w:val="00D87F67"/>
    <w:rsid w:val="00DA24A2"/>
    <w:rsid w:val="00DA5CFF"/>
    <w:rsid w:val="00DE12E4"/>
    <w:rsid w:val="00E06C38"/>
    <w:rsid w:val="00E205A0"/>
    <w:rsid w:val="00E60635"/>
    <w:rsid w:val="00E76065"/>
    <w:rsid w:val="00E80A64"/>
    <w:rsid w:val="00EA1451"/>
    <w:rsid w:val="00EA60C4"/>
    <w:rsid w:val="00F34AC5"/>
    <w:rsid w:val="00F370F9"/>
    <w:rsid w:val="00F44F9E"/>
    <w:rsid w:val="00F96AC7"/>
    <w:rsid w:val="00FC0879"/>
    <w:rsid w:val="00FE0A5B"/>
    <w:rsid w:val="00FF0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4F22"/>
  <w15:chartTrackingRefBased/>
  <w15:docId w15:val="{B812A72B-6F0E-4411-A4F1-86FEBFA4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Bannell</dc:creator>
  <cp:keywords/>
  <dc:description/>
  <cp:lastModifiedBy>Graham Bannell</cp:lastModifiedBy>
  <cp:revision>89</cp:revision>
  <dcterms:created xsi:type="dcterms:W3CDTF">2021-02-08T12:14:00Z</dcterms:created>
  <dcterms:modified xsi:type="dcterms:W3CDTF">2021-02-11T15:00:00Z</dcterms:modified>
</cp:coreProperties>
</file>