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38FA" w14:textId="0BB2826D" w:rsidR="00577C66" w:rsidRDefault="009E0DB0">
      <w:r>
        <w:t>The property at Church Manor’s existing use is Class 9.  Our proposed use would be class 9 also.</w:t>
      </w:r>
    </w:p>
    <w:sectPr w:rsidR="0057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B0"/>
    <w:rsid w:val="00577C66"/>
    <w:rsid w:val="009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1A72"/>
  <w15:chartTrackingRefBased/>
  <w15:docId w15:val="{512183BA-CAB9-4AD6-9FB7-E1D7B6F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McGhee (NAU)</dc:creator>
  <cp:keywords/>
  <dc:description/>
  <cp:lastModifiedBy>Nicholas McGhee (NAU)</cp:lastModifiedBy>
  <cp:revision>1</cp:revision>
  <dcterms:created xsi:type="dcterms:W3CDTF">2021-04-12T19:07:00Z</dcterms:created>
  <dcterms:modified xsi:type="dcterms:W3CDTF">2021-04-12T19:09:00Z</dcterms:modified>
</cp:coreProperties>
</file>