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F2" w:rsidRPr="000D43F2" w:rsidRDefault="000D43F2" w:rsidP="000D43F2">
      <w:pPr>
        <w:rPr>
          <w:rFonts w:ascii="Calibri" w:hAnsi="Calibri" w:cs="Calibri"/>
          <w:b/>
          <w:bCs/>
          <w:sz w:val="24"/>
        </w:rPr>
      </w:pPr>
      <w:r w:rsidRPr="000D43F2">
        <w:rPr>
          <w:rFonts w:ascii="Calibri" w:hAnsi="Calibri" w:cs="Calibri"/>
          <w:b/>
          <w:bCs/>
          <w:sz w:val="24"/>
        </w:rPr>
        <w:t>Planning Dept</w:t>
      </w:r>
      <w:r w:rsidRPr="000D43F2">
        <w:rPr>
          <w:rFonts w:ascii="Calibri" w:eastAsia="Times New Roman" w:hAnsi="Calibri" w:cs="Calibri"/>
          <w:color w:val="202020"/>
          <w:sz w:val="24"/>
          <w:szCs w:val="19"/>
        </w:rPr>
        <w:br/>
      </w:r>
      <w:r w:rsidRPr="000D43F2">
        <w:rPr>
          <w:rFonts w:ascii="Calibri" w:hAnsi="Calibri" w:cs="Calibri"/>
          <w:b/>
          <w:bCs/>
          <w:sz w:val="24"/>
        </w:rPr>
        <w:t>Sevenoaks District Council</w:t>
      </w:r>
      <w:proofErr w:type="gramStart"/>
      <w:r w:rsidRPr="000D43F2">
        <w:rPr>
          <w:rFonts w:ascii="Calibri" w:hAnsi="Calibri" w:cs="Calibri"/>
          <w:b/>
          <w:bCs/>
          <w:sz w:val="24"/>
        </w:rPr>
        <w:t>,</w:t>
      </w:r>
      <w:proofErr w:type="gramEnd"/>
      <w:r w:rsidRPr="000D43F2">
        <w:rPr>
          <w:rFonts w:ascii="Calibri" w:eastAsia="Times New Roman" w:hAnsi="Calibri" w:cs="Calibri"/>
          <w:color w:val="202020"/>
          <w:sz w:val="24"/>
          <w:szCs w:val="19"/>
        </w:rPr>
        <w:br/>
      </w:r>
      <w:hyperlink r:id="rId4" w:history="1">
        <w:r w:rsidRPr="000D43F2">
          <w:rPr>
            <w:rFonts w:ascii="Calibri" w:eastAsia="Times New Roman" w:hAnsi="Calibri" w:cs="Calibri"/>
            <w:b/>
            <w:bCs/>
            <w:sz w:val="24"/>
            <w:szCs w:val="19"/>
          </w:rPr>
          <w:t>Argyle Road,</w:t>
        </w:r>
      </w:hyperlink>
      <w:r w:rsidRPr="000D43F2">
        <w:rPr>
          <w:rFonts w:ascii="Calibri" w:eastAsia="Times New Roman" w:hAnsi="Calibri" w:cs="Calibri"/>
          <w:b/>
          <w:bCs/>
          <w:color w:val="202020"/>
          <w:sz w:val="24"/>
          <w:szCs w:val="19"/>
        </w:rPr>
        <w:br/>
      </w:r>
      <w:hyperlink r:id="rId5" w:history="1">
        <w:r w:rsidRPr="000D43F2">
          <w:rPr>
            <w:rFonts w:ascii="Calibri" w:eastAsia="Times New Roman" w:hAnsi="Calibri" w:cs="Calibri"/>
            <w:b/>
            <w:bCs/>
            <w:sz w:val="24"/>
            <w:szCs w:val="19"/>
          </w:rPr>
          <w:t>Sevenoaks, Kent,</w:t>
        </w:r>
      </w:hyperlink>
      <w:r w:rsidRPr="000D43F2">
        <w:rPr>
          <w:rFonts w:ascii="Calibri" w:eastAsia="Times New Roman" w:hAnsi="Calibri" w:cs="Calibri"/>
          <w:b/>
          <w:bCs/>
          <w:color w:val="202020"/>
          <w:sz w:val="24"/>
          <w:szCs w:val="19"/>
        </w:rPr>
        <w:br/>
      </w:r>
      <w:hyperlink r:id="rId6" w:history="1">
        <w:r w:rsidRPr="000D43F2">
          <w:rPr>
            <w:rFonts w:ascii="Calibri" w:eastAsia="Times New Roman" w:hAnsi="Calibri" w:cs="Calibri"/>
            <w:b/>
            <w:bCs/>
            <w:sz w:val="24"/>
            <w:szCs w:val="19"/>
          </w:rPr>
          <w:t>TN13 1HG</w:t>
        </w:r>
      </w:hyperlink>
      <w:r w:rsidRPr="000D43F2">
        <w:rPr>
          <w:rFonts w:ascii="Calibri" w:eastAsia="Times New Roman" w:hAnsi="Calibri" w:cs="Calibri"/>
          <w:b/>
          <w:bCs/>
          <w:color w:val="202020"/>
          <w:sz w:val="24"/>
          <w:szCs w:val="19"/>
        </w:rPr>
        <w:br/>
      </w:r>
    </w:p>
    <w:p w:rsidR="000D43F2" w:rsidRPr="000D43F2" w:rsidRDefault="000D43F2" w:rsidP="000D43F2">
      <w:pPr>
        <w:spacing w:after="100"/>
        <w:jc w:val="right"/>
        <w:rPr>
          <w:rStyle w:val="Emphasis"/>
          <w:rFonts w:eastAsia="Times New Roman"/>
          <w:i w:val="0"/>
          <w:color w:val="202020"/>
          <w:sz w:val="24"/>
          <w:szCs w:val="19"/>
        </w:rPr>
      </w:pPr>
      <w:r w:rsidRPr="000D43F2">
        <w:rPr>
          <w:rStyle w:val="Emphasis"/>
          <w:rFonts w:eastAsia="Times New Roman"/>
          <w:i w:val="0"/>
          <w:color w:val="202020"/>
          <w:sz w:val="24"/>
          <w:szCs w:val="19"/>
        </w:rPr>
        <w:t>31</w:t>
      </w:r>
      <w:r w:rsidRPr="000D43F2">
        <w:rPr>
          <w:rStyle w:val="Emphasis"/>
          <w:rFonts w:eastAsia="Times New Roman"/>
          <w:i w:val="0"/>
          <w:color w:val="202020"/>
          <w:sz w:val="24"/>
          <w:szCs w:val="19"/>
          <w:vertAlign w:val="superscript"/>
        </w:rPr>
        <w:t>st</w:t>
      </w:r>
      <w:r w:rsidRPr="000D43F2">
        <w:rPr>
          <w:rStyle w:val="Emphasis"/>
          <w:rFonts w:eastAsia="Times New Roman"/>
          <w:i w:val="0"/>
          <w:color w:val="202020"/>
          <w:sz w:val="24"/>
          <w:szCs w:val="19"/>
        </w:rPr>
        <w:t xml:space="preserve"> October 2019</w:t>
      </w:r>
    </w:p>
    <w:p w:rsidR="000D43F2" w:rsidRDefault="000D43F2">
      <w:pPr>
        <w:rPr>
          <w:rStyle w:val="Emphasis"/>
          <w:rFonts w:ascii="Helvetica" w:eastAsia="Times New Roman" w:hAnsi="Helvetica" w:cs="Helvetica"/>
          <w:color w:val="202020"/>
          <w:sz w:val="19"/>
          <w:szCs w:val="19"/>
        </w:rPr>
      </w:pPr>
    </w:p>
    <w:p w:rsidR="000D43F2" w:rsidRDefault="000D43F2">
      <w:pPr>
        <w:rPr>
          <w:rFonts w:ascii="Calibri" w:eastAsia="Times New Roman" w:hAnsi="Calibri" w:cs="Calibri"/>
          <w:color w:val="202020"/>
          <w:sz w:val="24"/>
          <w:szCs w:val="19"/>
        </w:rPr>
      </w:pPr>
      <w:r w:rsidRPr="000D43F2">
        <w:rPr>
          <w:rFonts w:ascii="Calibri" w:hAnsi="Calibri" w:cs="Calibri"/>
          <w:i/>
          <w:iCs/>
          <w:sz w:val="24"/>
        </w:rPr>
        <w:t>Subject</w:t>
      </w:r>
      <w:r w:rsidRPr="000D43F2">
        <w:rPr>
          <w:rFonts w:ascii="Calibri" w:eastAsia="Times New Roman" w:hAnsi="Calibri" w:cs="Calibri"/>
          <w:color w:val="202020"/>
          <w:sz w:val="24"/>
          <w:szCs w:val="19"/>
        </w:rPr>
        <w:t>: </w:t>
      </w:r>
      <w:r w:rsidRPr="000D43F2">
        <w:rPr>
          <w:rFonts w:ascii="Calibri" w:hAnsi="Calibri" w:cs="Calibri"/>
          <w:b/>
          <w:bCs/>
          <w:sz w:val="24"/>
        </w:rPr>
        <w:t>Revised planning application for Fort Halstead, 750 houses</w:t>
      </w:r>
      <w:r w:rsidRPr="000D43F2">
        <w:rPr>
          <w:rFonts w:ascii="Calibri" w:eastAsia="Times New Roman" w:hAnsi="Calibri" w:cs="Calibri"/>
          <w:color w:val="202020"/>
          <w:sz w:val="24"/>
          <w:szCs w:val="19"/>
        </w:rPr>
        <w:br/>
      </w:r>
      <w:r w:rsidRPr="000D43F2">
        <w:rPr>
          <w:rFonts w:ascii="Calibri" w:hAnsi="Calibri" w:cs="Calibri"/>
          <w:i/>
          <w:iCs/>
          <w:sz w:val="24"/>
        </w:rPr>
        <w:t>Your Reference</w:t>
      </w:r>
      <w:r w:rsidRPr="000D43F2">
        <w:rPr>
          <w:rFonts w:ascii="Calibri" w:eastAsia="Times New Roman" w:hAnsi="Calibri" w:cs="Calibri"/>
          <w:color w:val="202020"/>
          <w:sz w:val="24"/>
          <w:szCs w:val="19"/>
        </w:rPr>
        <w:t>: </w:t>
      </w:r>
      <w:hyperlink r:id="rId7" w:history="1">
        <w:r w:rsidRPr="000D43F2">
          <w:rPr>
            <w:rFonts w:ascii="Calibri" w:hAnsi="Calibri" w:cs="Calibri"/>
            <w:color w:val="202020"/>
            <w:sz w:val="24"/>
          </w:rPr>
          <w:t>19/05000</w:t>
        </w:r>
      </w:hyperlink>
      <w:r w:rsidRPr="000D43F2">
        <w:rPr>
          <w:rFonts w:ascii="Calibri" w:hAnsi="Calibri" w:cs="Calibri"/>
          <w:b/>
          <w:bCs/>
          <w:sz w:val="24"/>
        </w:rPr>
        <w:t>/HYB</w:t>
      </w:r>
      <w:r w:rsidRPr="000D43F2">
        <w:rPr>
          <w:rFonts w:ascii="Calibri" w:eastAsia="Times New Roman" w:hAnsi="Calibri" w:cs="Calibri"/>
          <w:color w:val="202020"/>
          <w:sz w:val="24"/>
          <w:szCs w:val="19"/>
        </w:rPr>
        <w:br/>
      </w:r>
    </w:p>
    <w:p w:rsidR="000D43F2" w:rsidRDefault="000D43F2">
      <w:pPr>
        <w:rPr>
          <w:rFonts w:ascii="Calibri" w:eastAsia="Times New Roman" w:hAnsi="Calibri" w:cs="Calibri"/>
          <w:color w:val="202020"/>
          <w:sz w:val="24"/>
          <w:szCs w:val="19"/>
        </w:rPr>
      </w:pPr>
    </w:p>
    <w:p w:rsidR="00372F65" w:rsidRDefault="00372F65">
      <w:pPr>
        <w:rPr>
          <w:rFonts w:ascii="Calibri" w:eastAsia="Times New Roman" w:hAnsi="Calibri" w:cs="Calibri"/>
          <w:color w:val="202020"/>
          <w:sz w:val="24"/>
          <w:szCs w:val="19"/>
        </w:rPr>
      </w:pPr>
      <w:r w:rsidRPr="00372F65">
        <w:rPr>
          <w:rFonts w:ascii="Calibri" w:eastAsia="Times New Roman" w:hAnsi="Calibri" w:cs="Calibri"/>
          <w:color w:val="202020"/>
          <w:sz w:val="24"/>
          <w:szCs w:val="19"/>
        </w:rPr>
        <w:t>A major issue for Knockholt and Halstead residents</w:t>
      </w:r>
      <w:r w:rsidR="00966A63">
        <w:rPr>
          <w:rFonts w:ascii="Calibri" w:eastAsia="Times New Roman" w:hAnsi="Calibri" w:cs="Calibri"/>
          <w:color w:val="202020"/>
          <w:sz w:val="24"/>
          <w:szCs w:val="19"/>
        </w:rPr>
        <w:t xml:space="preserve"> of planned developments at Fort</w:t>
      </w:r>
      <w:r w:rsidRPr="00372F65">
        <w:rPr>
          <w:rFonts w:ascii="Calibri" w:eastAsia="Times New Roman" w:hAnsi="Calibri" w:cs="Calibri"/>
          <w:color w:val="202020"/>
          <w:sz w:val="24"/>
          <w:szCs w:val="19"/>
        </w:rPr>
        <w:t xml:space="preserve"> Halstead has been the exit onto Star Hill Road</w:t>
      </w:r>
      <w:r>
        <w:rPr>
          <w:rFonts w:ascii="Calibri" w:eastAsia="Times New Roman" w:hAnsi="Calibri" w:cs="Calibri"/>
          <w:color w:val="202020"/>
          <w:sz w:val="24"/>
          <w:szCs w:val="19"/>
        </w:rPr>
        <w:t xml:space="preserve">. </w:t>
      </w:r>
      <w:r w:rsidRPr="00372F65">
        <w:rPr>
          <w:rFonts w:ascii="Calibri" w:eastAsia="Times New Roman" w:hAnsi="Calibri" w:cs="Calibri"/>
          <w:color w:val="202020"/>
          <w:sz w:val="24"/>
          <w:szCs w:val="19"/>
        </w:rPr>
        <w:t xml:space="preserve">Sevenoaks District Council’s (SDC) </w:t>
      </w:r>
      <w:r>
        <w:rPr>
          <w:rFonts w:ascii="Calibri" w:eastAsia="Times New Roman" w:hAnsi="Calibri" w:cs="Calibri"/>
          <w:color w:val="202020"/>
          <w:sz w:val="24"/>
          <w:szCs w:val="19"/>
        </w:rPr>
        <w:t xml:space="preserve">has already </w:t>
      </w:r>
      <w:r w:rsidRPr="00372F65">
        <w:rPr>
          <w:rFonts w:ascii="Calibri" w:eastAsia="Times New Roman" w:hAnsi="Calibri" w:cs="Calibri"/>
          <w:color w:val="202020"/>
          <w:sz w:val="24"/>
          <w:szCs w:val="19"/>
        </w:rPr>
        <w:t>pledge</w:t>
      </w:r>
      <w:r>
        <w:rPr>
          <w:rFonts w:ascii="Calibri" w:eastAsia="Times New Roman" w:hAnsi="Calibri" w:cs="Calibri"/>
          <w:color w:val="202020"/>
          <w:sz w:val="24"/>
          <w:szCs w:val="19"/>
        </w:rPr>
        <w:t xml:space="preserve">d to deny general access but I have concerns that this decision will come under pressure from the developers. </w:t>
      </w:r>
      <w:r w:rsidRPr="00372F65">
        <w:rPr>
          <w:rFonts w:ascii="Calibri" w:eastAsia="Times New Roman" w:hAnsi="Calibri" w:cs="Calibri"/>
          <w:color w:val="202020"/>
          <w:sz w:val="24"/>
          <w:szCs w:val="19"/>
        </w:rPr>
        <w:t>It is imperative that the Star Hill Road access remains restricted—emergency s</w:t>
      </w:r>
      <w:r>
        <w:rPr>
          <w:rFonts w:ascii="Calibri" w:eastAsia="Times New Roman" w:hAnsi="Calibri" w:cs="Calibri"/>
          <w:color w:val="202020"/>
          <w:sz w:val="24"/>
          <w:szCs w:val="19"/>
        </w:rPr>
        <w:t>ervices vehicles and buses only and failure to do so would cause a</w:t>
      </w:r>
      <w:r w:rsidRPr="00372F65">
        <w:rPr>
          <w:rFonts w:ascii="Calibri" w:eastAsia="Times New Roman" w:hAnsi="Calibri" w:cs="Calibri"/>
          <w:color w:val="202020"/>
          <w:sz w:val="24"/>
          <w:szCs w:val="19"/>
        </w:rPr>
        <w:t xml:space="preserve"> devastating</w:t>
      </w:r>
      <w:r>
        <w:rPr>
          <w:rFonts w:ascii="Calibri" w:eastAsia="Times New Roman" w:hAnsi="Calibri" w:cs="Calibri"/>
          <w:color w:val="202020"/>
          <w:sz w:val="24"/>
          <w:szCs w:val="19"/>
        </w:rPr>
        <w:t xml:space="preserve"> impact.</w:t>
      </w:r>
      <w:r w:rsidRPr="00372F65">
        <w:rPr>
          <w:rFonts w:ascii="Calibri" w:eastAsia="Times New Roman" w:hAnsi="Calibri" w:cs="Calibri"/>
          <w:color w:val="202020"/>
          <w:sz w:val="24"/>
          <w:szCs w:val="19"/>
        </w:rPr>
        <w:br/>
      </w:r>
    </w:p>
    <w:p w:rsidR="00372F65" w:rsidRPr="00372F65" w:rsidRDefault="00372F65">
      <w:pPr>
        <w:rPr>
          <w:rFonts w:ascii="Calibri" w:eastAsia="Times New Roman" w:hAnsi="Calibri" w:cs="Calibri"/>
          <w:color w:val="202020"/>
          <w:sz w:val="24"/>
          <w:szCs w:val="19"/>
        </w:rPr>
      </w:pPr>
    </w:p>
    <w:p w:rsidR="000D43F2" w:rsidRDefault="000D43F2">
      <w:pPr>
        <w:rPr>
          <w:rFonts w:ascii="Calibri" w:eastAsia="Times New Roman" w:hAnsi="Calibri" w:cs="Calibri"/>
          <w:color w:val="202020"/>
          <w:sz w:val="24"/>
          <w:szCs w:val="19"/>
        </w:rPr>
      </w:pPr>
      <w:r>
        <w:rPr>
          <w:rFonts w:ascii="Calibri" w:eastAsia="Times New Roman" w:hAnsi="Calibri" w:cs="Calibri"/>
          <w:color w:val="202020"/>
          <w:sz w:val="24"/>
          <w:szCs w:val="19"/>
        </w:rPr>
        <w:t>T</w:t>
      </w:r>
      <w:r w:rsidR="00372F65" w:rsidRPr="00372F65">
        <w:rPr>
          <w:rFonts w:ascii="Calibri" w:eastAsia="Times New Roman" w:hAnsi="Calibri" w:cs="Calibri"/>
          <w:color w:val="202020"/>
          <w:sz w:val="24"/>
          <w:szCs w:val="19"/>
        </w:rPr>
        <w:t xml:space="preserve">he Fort Halstead developers </w:t>
      </w:r>
      <w:r>
        <w:rPr>
          <w:rFonts w:ascii="Calibri" w:eastAsia="Times New Roman" w:hAnsi="Calibri" w:cs="Calibri"/>
          <w:color w:val="202020"/>
          <w:sz w:val="24"/>
          <w:szCs w:val="19"/>
        </w:rPr>
        <w:t>have,</w:t>
      </w:r>
      <w:r w:rsidR="00372F65" w:rsidRPr="00372F65">
        <w:rPr>
          <w:rFonts w:ascii="Calibri" w:eastAsia="Times New Roman" w:hAnsi="Calibri" w:cs="Calibri"/>
          <w:color w:val="202020"/>
          <w:sz w:val="24"/>
          <w:szCs w:val="19"/>
        </w:rPr>
        <w:t xml:space="preserve"> in the</w:t>
      </w:r>
      <w:r>
        <w:rPr>
          <w:rFonts w:ascii="Calibri" w:eastAsia="Times New Roman" w:hAnsi="Calibri" w:cs="Calibri"/>
          <w:color w:val="202020"/>
          <w:sz w:val="24"/>
          <w:szCs w:val="19"/>
        </w:rPr>
        <w:t>ir original application, stated</w:t>
      </w:r>
      <w:r w:rsidR="00372F65" w:rsidRPr="00372F65">
        <w:rPr>
          <w:rFonts w:ascii="Calibri" w:eastAsia="Times New Roman" w:hAnsi="Calibri" w:cs="Calibri"/>
          <w:color w:val="202020"/>
          <w:sz w:val="24"/>
          <w:szCs w:val="19"/>
        </w:rPr>
        <w:t xml:space="preserve"> that their development would: ‘Help protect other less-developed areas of the Green Belt from potential release’. In this context, one has to reflect on the planning application recently submitted by Quinn Estates for about 1,000 houses on the former Broke Hill Golf Course, which is virtually adjacent to Fort Halstead. Broke Hill is both Green Belt land and an are</w:t>
      </w:r>
      <w:r>
        <w:rPr>
          <w:rFonts w:ascii="Calibri" w:eastAsia="Times New Roman" w:hAnsi="Calibri" w:cs="Calibri"/>
          <w:color w:val="202020"/>
          <w:sz w:val="24"/>
          <w:szCs w:val="19"/>
        </w:rPr>
        <w:t>a of outstanding natural beauty.</w:t>
      </w:r>
    </w:p>
    <w:p w:rsidR="00372F65" w:rsidRDefault="00372F65">
      <w:pPr>
        <w:rPr>
          <w:rFonts w:ascii="Calibri" w:eastAsia="Times New Roman" w:hAnsi="Calibri" w:cs="Calibri"/>
          <w:color w:val="202020"/>
          <w:sz w:val="24"/>
          <w:szCs w:val="19"/>
        </w:rPr>
      </w:pPr>
      <w:r w:rsidRPr="00372F65">
        <w:rPr>
          <w:rFonts w:ascii="Calibri" w:eastAsia="Times New Roman" w:hAnsi="Calibri" w:cs="Calibri"/>
          <w:color w:val="202020"/>
          <w:sz w:val="24"/>
          <w:szCs w:val="19"/>
        </w:rPr>
        <w:br/>
        <w:t>Fort Halstead was addressed by Sevenoaks District Council in its 2010 Core Strategy, and in a SDC public statement in January 2011 that said: “As part of its development, the Core Strategy was examined at a public inquiry last October, held by the Planning Inspectorate. Planning agents acting on behalf of the owners of Fort Halstead tabled a proposal to re-allocate the site for a residential development of up to 1,000 homes with local facilities.</w:t>
      </w:r>
      <w:r w:rsidRPr="00372F65">
        <w:rPr>
          <w:rFonts w:ascii="Calibri" w:eastAsia="Times New Roman" w:hAnsi="Calibri" w:cs="Calibri"/>
          <w:color w:val="202020"/>
          <w:sz w:val="24"/>
          <w:szCs w:val="19"/>
        </w:rPr>
        <w:br/>
        <w:t>“Sevenoaks District Council did not support this proposal and it was opposed by the Kent Downs AONB Unit at the inquiry. The Planning Inspector rejected the idea</w:t>
      </w:r>
      <w:proofErr w:type="gramStart"/>
      <w:r w:rsidRPr="00372F65">
        <w:rPr>
          <w:rFonts w:ascii="Calibri" w:eastAsia="Times New Roman" w:hAnsi="Calibri" w:cs="Calibri"/>
          <w:color w:val="202020"/>
          <w:sz w:val="24"/>
          <w:szCs w:val="19"/>
        </w:rPr>
        <w:t>.</w:t>
      </w:r>
      <w:proofErr w:type="gramEnd"/>
      <w:r w:rsidRPr="00372F65">
        <w:rPr>
          <w:rFonts w:ascii="Calibri" w:eastAsia="Times New Roman" w:hAnsi="Calibri" w:cs="Calibri"/>
          <w:color w:val="202020"/>
          <w:sz w:val="24"/>
          <w:szCs w:val="19"/>
        </w:rPr>
        <w:br/>
        <w:t>“The Inspector said the site was not in a sustainable location as its inhabitants would have to travel a considerable distance to access transport, shopping, and other facilities and that the development was not needed to meet the district's future development requirements.</w:t>
      </w:r>
      <w:r w:rsidRPr="00372F65">
        <w:rPr>
          <w:rFonts w:ascii="Calibri" w:eastAsia="Times New Roman" w:hAnsi="Calibri" w:cs="Calibri"/>
          <w:color w:val="202020"/>
          <w:sz w:val="24"/>
          <w:szCs w:val="19"/>
        </w:rPr>
        <w:br/>
        <w:t>“In practice,” SDC stated, “</w:t>
      </w:r>
      <w:r w:rsidRPr="000D43F2">
        <w:rPr>
          <w:rFonts w:ascii="Calibri" w:eastAsia="Times New Roman" w:hAnsi="Calibri" w:cs="Calibri"/>
          <w:b/>
          <w:color w:val="202020"/>
          <w:sz w:val="24"/>
          <w:szCs w:val="19"/>
        </w:rPr>
        <w:t>this means that large-scale housing development at the site is unlikely to be granted planning permission</w:t>
      </w:r>
      <w:r w:rsidRPr="00372F65">
        <w:rPr>
          <w:rFonts w:ascii="Calibri" w:eastAsia="Times New Roman" w:hAnsi="Calibri" w:cs="Calibri"/>
          <w:color w:val="202020"/>
          <w:sz w:val="24"/>
          <w:szCs w:val="19"/>
        </w:rPr>
        <w:t>.”</w:t>
      </w:r>
      <w:r w:rsidRPr="00372F65">
        <w:rPr>
          <w:rFonts w:ascii="Calibri" w:eastAsia="Times New Roman" w:hAnsi="Calibri" w:cs="Calibri"/>
          <w:color w:val="202020"/>
          <w:sz w:val="24"/>
          <w:szCs w:val="19"/>
        </w:rPr>
        <w:br/>
      </w:r>
    </w:p>
    <w:p w:rsidR="000D43F2" w:rsidRDefault="000D43F2">
      <w:pPr>
        <w:rPr>
          <w:rFonts w:ascii="Calibri" w:eastAsia="Times New Roman" w:hAnsi="Calibri" w:cs="Calibri"/>
          <w:color w:val="202020"/>
          <w:sz w:val="24"/>
          <w:szCs w:val="19"/>
        </w:rPr>
      </w:pPr>
    </w:p>
    <w:p w:rsidR="000D43F2" w:rsidRPr="00372F65" w:rsidRDefault="000D43F2">
      <w:pPr>
        <w:rPr>
          <w:rFonts w:ascii="Calibri" w:eastAsia="Times New Roman" w:hAnsi="Calibri" w:cs="Calibri"/>
          <w:color w:val="202020"/>
          <w:sz w:val="24"/>
          <w:szCs w:val="19"/>
        </w:rPr>
      </w:pPr>
    </w:p>
    <w:p w:rsidR="000D43F2" w:rsidRDefault="000D43F2">
      <w:pPr>
        <w:rPr>
          <w:rFonts w:ascii="Calibri" w:eastAsia="Times New Roman" w:hAnsi="Calibri" w:cs="Calibri"/>
          <w:color w:val="202020"/>
          <w:sz w:val="24"/>
          <w:szCs w:val="19"/>
        </w:rPr>
      </w:pPr>
    </w:p>
    <w:p w:rsidR="000D43F2" w:rsidRDefault="000D43F2">
      <w:pPr>
        <w:rPr>
          <w:rFonts w:ascii="Calibri" w:eastAsia="Times New Roman" w:hAnsi="Calibri" w:cs="Calibri"/>
          <w:color w:val="202020"/>
          <w:sz w:val="24"/>
          <w:szCs w:val="19"/>
        </w:rPr>
      </w:pPr>
      <w:r>
        <w:rPr>
          <w:rFonts w:ascii="Calibri" w:eastAsia="Times New Roman" w:hAnsi="Calibri" w:cs="Calibri"/>
          <w:color w:val="202020"/>
          <w:sz w:val="24"/>
          <w:szCs w:val="19"/>
        </w:rPr>
        <w:t>T</w:t>
      </w:r>
      <w:r w:rsidR="00372F65" w:rsidRPr="00372F65">
        <w:rPr>
          <w:rFonts w:ascii="Calibri" w:eastAsia="Times New Roman" w:hAnsi="Calibri" w:cs="Calibri"/>
          <w:color w:val="202020"/>
          <w:sz w:val="24"/>
          <w:szCs w:val="19"/>
        </w:rPr>
        <w:t>he Government National Planning Policy Framework regarding the Green Belt states</w:t>
      </w:r>
      <w:proofErr w:type="gramStart"/>
      <w:r w:rsidR="00372F65" w:rsidRPr="00372F65">
        <w:rPr>
          <w:rFonts w:ascii="Calibri" w:eastAsia="Times New Roman" w:hAnsi="Calibri" w:cs="Calibri"/>
          <w:color w:val="202020"/>
          <w:sz w:val="24"/>
          <w:szCs w:val="19"/>
        </w:rPr>
        <w:t>:</w:t>
      </w:r>
      <w:proofErr w:type="gramEnd"/>
      <w:r w:rsidR="00372F65" w:rsidRPr="00372F65">
        <w:rPr>
          <w:rFonts w:ascii="Calibri" w:eastAsia="Times New Roman" w:hAnsi="Calibri" w:cs="Calibri"/>
          <w:color w:val="202020"/>
          <w:sz w:val="24"/>
          <w:szCs w:val="19"/>
        </w:rPr>
        <w:br/>
        <w:t>•             It should check against unrestricted sprawl of large built-up areas</w:t>
      </w:r>
      <w:r w:rsidR="00372F65" w:rsidRPr="00372F65">
        <w:rPr>
          <w:rFonts w:ascii="Calibri" w:eastAsia="Times New Roman" w:hAnsi="Calibri" w:cs="Calibri"/>
          <w:color w:val="202020"/>
          <w:sz w:val="24"/>
          <w:szCs w:val="19"/>
        </w:rPr>
        <w:br/>
        <w:t>•             Prevent neighbouring areas merging into one another</w:t>
      </w:r>
      <w:r w:rsidR="00372F65" w:rsidRPr="00372F65">
        <w:rPr>
          <w:rFonts w:ascii="Calibri" w:eastAsia="Times New Roman" w:hAnsi="Calibri" w:cs="Calibri"/>
          <w:color w:val="202020"/>
          <w:sz w:val="24"/>
          <w:szCs w:val="19"/>
        </w:rPr>
        <w:br/>
        <w:t>•             Safeguard the countryside from encroachment.</w:t>
      </w:r>
      <w:r w:rsidR="00372F65" w:rsidRPr="00372F65">
        <w:rPr>
          <w:rFonts w:ascii="Calibri" w:eastAsia="Times New Roman" w:hAnsi="Calibri" w:cs="Calibri"/>
          <w:color w:val="202020"/>
          <w:sz w:val="24"/>
          <w:szCs w:val="19"/>
        </w:rPr>
        <w:br/>
      </w:r>
    </w:p>
    <w:p w:rsidR="000D43F2" w:rsidRDefault="000D43F2">
      <w:pPr>
        <w:rPr>
          <w:rFonts w:ascii="Calibri" w:hAnsi="Calibri" w:cs="Calibri"/>
          <w:sz w:val="32"/>
        </w:rPr>
      </w:pPr>
      <w:r>
        <w:rPr>
          <w:rFonts w:ascii="Calibri" w:eastAsia="Times New Roman" w:hAnsi="Calibri" w:cs="Calibri"/>
          <w:color w:val="202020"/>
          <w:sz w:val="24"/>
          <w:szCs w:val="19"/>
        </w:rPr>
        <w:t>T</w:t>
      </w:r>
      <w:r w:rsidR="00372F65" w:rsidRPr="00372F65">
        <w:rPr>
          <w:rFonts w:ascii="Calibri" w:eastAsia="Times New Roman" w:hAnsi="Calibri" w:cs="Calibri"/>
          <w:color w:val="202020"/>
          <w:sz w:val="24"/>
          <w:szCs w:val="19"/>
        </w:rPr>
        <w:t>here are absolutely no ‘exceptional circumstances’ that should allow Fort Halstead to breach those aims. With the collapse of the current ‘Employment-Led’ excuse to despoil the Green Belt, the Society asks SDC to reject the application.</w:t>
      </w:r>
      <w:r w:rsidR="00372F65" w:rsidRPr="00372F65">
        <w:rPr>
          <w:rFonts w:ascii="Calibri" w:eastAsia="Times New Roman" w:hAnsi="Calibri" w:cs="Calibri"/>
          <w:color w:val="202020"/>
          <w:sz w:val="24"/>
          <w:szCs w:val="19"/>
        </w:rPr>
        <w:br/>
      </w:r>
    </w:p>
    <w:p w:rsidR="000D43F2" w:rsidRDefault="000D43F2">
      <w:pPr>
        <w:rPr>
          <w:rFonts w:ascii="Calibri" w:hAnsi="Calibri" w:cs="Calibri"/>
          <w:sz w:val="32"/>
        </w:rPr>
      </w:pPr>
    </w:p>
    <w:p w:rsidR="000D43F2" w:rsidRPr="000D43F2" w:rsidRDefault="000D43F2">
      <w:pPr>
        <w:rPr>
          <w:rFonts w:ascii="Calibri" w:eastAsia="Times New Roman" w:hAnsi="Calibri" w:cs="Calibri"/>
          <w:color w:val="202020"/>
          <w:sz w:val="24"/>
          <w:szCs w:val="19"/>
        </w:rPr>
      </w:pPr>
      <w:r w:rsidRPr="000D43F2">
        <w:rPr>
          <w:rFonts w:ascii="Calibri" w:eastAsia="Times New Roman" w:hAnsi="Calibri" w:cs="Calibri"/>
          <w:color w:val="202020"/>
          <w:sz w:val="24"/>
          <w:szCs w:val="19"/>
        </w:rPr>
        <w:t>Yours faithfull</w:t>
      </w:r>
      <w:r>
        <w:rPr>
          <w:rFonts w:ascii="Calibri" w:eastAsia="Times New Roman" w:hAnsi="Calibri" w:cs="Calibri"/>
          <w:color w:val="202020"/>
          <w:sz w:val="24"/>
          <w:szCs w:val="19"/>
        </w:rPr>
        <w:t>y</w:t>
      </w:r>
    </w:p>
    <w:p w:rsidR="000D43F2" w:rsidRDefault="000D43F2">
      <w:pPr>
        <w:rPr>
          <w:rFonts w:ascii="Calibri" w:eastAsia="Times New Roman" w:hAnsi="Calibri" w:cs="Calibri"/>
          <w:color w:val="202020"/>
          <w:sz w:val="24"/>
          <w:szCs w:val="19"/>
        </w:rPr>
      </w:pPr>
    </w:p>
    <w:p w:rsidR="000D43F2" w:rsidRDefault="000D43F2">
      <w:pPr>
        <w:rPr>
          <w:rFonts w:ascii="Calibri" w:eastAsia="Times New Roman" w:hAnsi="Calibri" w:cs="Calibri"/>
          <w:color w:val="202020"/>
          <w:sz w:val="24"/>
          <w:szCs w:val="19"/>
        </w:rPr>
      </w:pPr>
    </w:p>
    <w:p w:rsidR="000D43F2" w:rsidRDefault="000D43F2">
      <w:pPr>
        <w:rPr>
          <w:rFonts w:ascii="Calibri" w:eastAsia="Times New Roman" w:hAnsi="Calibri" w:cs="Calibri"/>
          <w:color w:val="202020"/>
          <w:sz w:val="24"/>
          <w:szCs w:val="19"/>
        </w:rPr>
      </w:pPr>
    </w:p>
    <w:p w:rsidR="000D43F2" w:rsidRPr="000D43F2" w:rsidRDefault="000D43F2">
      <w:pPr>
        <w:rPr>
          <w:rFonts w:ascii="Calibri" w:eastAsia="Times New Roman" w:hAnsi="Calibri" w:cs="Calibri"/>
          <w:color w:val="202020"/>
          <w:sz w:val="24"/>
          <w:szCs w:val="19"/>
        </w:rPr>
      </w:pPr>
    </w:p>
    <w:p w:rsidR="000D43F2" w:rsidRPr="000D43F2" w:rsidRDefault="000D43F2">
      <w:pPr>
        <w:rPr>
          <w:rFonts w:ascii="Calibri" w:eastAsia="Times New Roman" w:hAnsi="Calibri" w:cs="Calibri"/>
          <w:color w:val="202020"/>
          <w:sz w:val="24"/>
          <w:szCs w:val="19"/>
        </w:rPr>
      </w:pPr>
      <w:r w:rsidRPr="000D43F2">
        <w:rPr>
          <w:rFonts w:ascii="Calibri" w:eastAsia="Times New Roman" w:hAnsi="Calibri" w:cs="Calibri"/>
          <w:color w:val="202020"/>
          <w:sz w:val="24"/>
          <w:szCs w:val="19"/>
        </w:rPr>
        <w:t>Mr. P Lambillion</w:t>
      </w:r>
    </w:p>
    <w:p w:rsidR="000D43F2" w:rsidRPr="000D43F2" w:rsidRDefault="000D43F2" w:rsidP="000D43F2">
      <w:pPr>
        <w:rPr>
          <w:rFonts w:ascii="Calibri" w:eastAsia="Times New Roman" w:hAnsi="Calibri" w:cs="Calibri"/>
          <w:color w:val="202020"/>
          <w:sz w:val="24"/>
          <w:szCs w:val="19"/>
        </w:rPr>
      </w:pPr>
      <w:r w:rsidRPr="000D43F2">
        <w:rPr>
          <w:rFonts w:ascii="Calibri" w:eastAsia="Times New Roman" w:hAnsi="Calibri" w:cs="Calibri"/>
          <w:color w:val="202020"/>
          <w:sz w:val="24"/>
          <w:szCs w:val="19"/>
        </w:rPr>
        <w:t>Cascade</w:t>
      </w:r>
    </w:p>
    <w:p w:rsidR="000D43F2" w:rsidRPr="000D43F2" w:rsidRDefault="000D43F2" w:rsidP="000D43F2">
      <w:pPr>
        <w:rPr>
          <w:rFonts w:ascii="Calibri" w:eastAsia="Times New Roman" w:hAnsi="Calibri" w:cs="Calibri"/>
          <w:color w:val="202020"/>
          <w:sz w:val="24"/>
          <w:szCs w:val="19"/>
        </w:rPr>
      </w:pPr>
      <w:r w:rsidRPr="000D43F2">
        <w:rPr>
          <w:rFonts w:ascii="Calibri" w:eastAsia="Times New Roman" w:hAnsi="Calibri" w:cs="Calibri"/>
          <w:color w:val="202020"/>
          <w:sz w:val="24"/>
          <w:szCs w:val="19"/>
        </w:rPr>
        <w:t>Rushmore Hill</w:t>
      </w:r>
    </w:p>
    <w:p w:rsidR="000D43F2" w:rsidRPr="000D43F2" w:rsidRDefault="000D43F2" w:rsidP="000D43F2">
      <w:pPr>
        <w:rPr>
          <w:rFonts w:ascii="Calibri" w:eastAsia="Times New Roman" w:hAnsi="Calibri" w:cs="Calibri"/>
          <w:color w:val="202020"/>
          <w:sz w:val="24"/>
          <w:szCs w:val="19"/>
        </w:rPr>
      </w:pPr>
      <w:r w:rsidRPr="000D43F2">
        <w:rPr>
          <w:rFonts w:ascii="Calibri" w:eastAsia="Times New Roman" w:hAnsi="Calibri" w:cs="Calibri"/>
          <w:color w:val="202020"/>
          <w:sz w:val="24"/>
          <w:szCs w:val="19"/>
        </w:rPr>
        <w:t>Knockholt</w:t>
      </w:r>
    </w:p>
    <w:p w:rsidR="000D43F2" w:rsidRPr="000D43F2" w:rsidRDefault="000D43F2" w:rsidP="000D43F2">
      <w:pPr>
        <w:rPr>
          <w:rFonts w:ascii="Calibri" w:eastAsia="Times New Roman" w:hAnsi="Calibri" w:cs="Calibri"/>
          <w:color w:val="202020"/>
          <w:sz w:val="24"/>
          <w:szCs w:val="19"/>
        </w:rPr>
      </w:pPr>
      <w:r w:rsidRPr="000D43F2">
        <w:rPr>
          <w:rFonts w:ascii="Calibri" w:eastAsia="Times New Roman" w:hAnsi="Calibri" w:cs="Calibri"/>
          <w:color w:val="202020"/>
          <w:sz w:val="24"/>
          <w:szCs w:val="19"/>
        </w:rPr>
        <w:t>Kent</w:t>
      </w:r>
    </w:p>
    <w:p w:rsidR="000D43F2" w:rsidRPr="000D43F2" w:rsidRDefault="000D43F2" w:rsidP="000D43F2">
      <w:pPr>
        <w:rPr>
          <w:rFonts w:ascii="Calibri" w:eastAsia="Times New Roman" w:hAnsi="Calibri" w:cs="Calibri"/>
          <w:color w:val="202020"/>
          <w:sz w:val="24"/>
          <w:szCs w:val="19"/>
        </w:rPr>
      </w:pPr>
      <w:r w:rsidRPr="000D43F2">
        <w:rPr>
          <w:rFonts w:ascii="Calibri" w:eastAsia="Times New Roman" w:hAnsi="Calibri" w:cs="Calibri"/>
          <w:color w:val="202020"/>
          <w:sz w:val="24"/>
          <w:szCs w:val="19"/>
        </w:rPr>
        <w:t>TN14 7NS</w:t>
      </w:r>
    </w:p>
    <w:p w:rsidR="000D43F2" w:rsidRPr="00372F65" w:rsidRDefault="000D43F2">
      <w:pPr>
        <w:rPr>
          <w:rFonts w:ascii="Calibri" w:hAnsi="Calibri" w:cs="Calibri"/>
          <w:sz w:val="32"/>
        </w:rPr>
      </w:pPr>
    </w:p>
    <w:sectPr w:rsidR="000D43F2" w:rsidRPr="00372F65" w:rsidSect="00E57A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F65"/>
    <w:rsid w:val="000D43F2"/>
    <w:rsid w:val="00372F65"/>
    <w:rsid w:val="006B5DAC"/>
    <w:rsid w:val="00966A63"/>
    <w:rsid w:val="00C93BDE"/>
    <w:rsid w:val="00D12FA9"/>
    <w:rsid w:val="00E57A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2F65"/>
    <w:rPr>
      <w:i/>
      <w:iCs/>
    </w:rPr>
  </w:style>
  <w:style w:type="character" w:styleId="Strong">
    <w:name w:val="Strong"/>
    <w:basedOn w:val="DefaultParagraphFont"/>
    <w:uiPriority w:val="22"/>
    <w:qFormat/>
    <w:rsid w:val="000D43F2"/>
    <w:rPr>
      <w:b/>
      <w:bCs/>
    </w:rPr>
  </w:style>
  <w:style w:type="character" w:styleId="Hyperlink">
    <w:name w:val="Hyperlink"/>
    <w:basedOn w:val="DefaultParagraphFont"/>
    <w:uiPriority w:val="99"/>
    <w:semiHidden/>
    <w:unhideWhenUsed/>
    <w:rsid w:val="000D43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91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19/05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4" TargetMode="External"/><Relationship Id="rId5" Type="http://schemas.openxmlformats.org/officeDocument/2006/relationships/hyperlink" Target="x-apple-data-detectors://4" TargetMode="External"/><Relationship Id="rId4" Type="http://schemas.openxmlformats.org/officeDocument/2006/relationships/hyperlink" Target="x-apple-data-detectors://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cp:revision>
  <cp:lastPrinted>2019-10-31T14:35:00Z</cp:lastPrinted>
  <dcterms:created xsi:type="dcterms:W3CDTF">2019-10-31T14:38:00Z</dcterms:created>
  <dcterms:modified xsi:type="dcterms:W3CDTF">2019-10-31T16:38:00Z</dcterms:modified>
</cp:coreProperties>
</file>