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50"/>
        <w:gridCol w:w="8"/>
        <w:gridCol w:w="6823"/>
        <w:gridCol w:w="993"/>
        <w:gridCol w:w="165"/>
        <w:gridCol w:w="1847"/>
        <w:gridCol w:w="15"/>
        <w:gridCol w:w="122"/>
      </w:tblGrid>
      <w:tr w:rsidR="006B2092" w14:paraId="37D3C8F3" w14:textId="77777777">
        <w:trPr>
          <w:cantSplit/>
          <w:trHeight w:val="1836"/>
        </w:trPr>
        <w:tc>
          <w:tcPr>
            <w:tcW w:w="9039" w:type="dxa"/>
            <w:gridSpan w:val="5"/>
            <w:tcBorders>
              <w:top w:val="nil"/>
              <w:left w:val="nil"/>
              <w:bottom w:val="nil"/>
              <w:right w:val="nil"/>
            </w:tcBorders>
          </w:tcPr>
          <w:p w14:paraId="32028AFC" w14:textId="77777777" w:rsidR="006B2092" w:rsidRDefault="006B2092">
            <w:pPr>
              <w:pStyle w:val="Heading1"/>
              <w:keepNext w:val="0"/>
              <w:widowControl w:val="0"/>
            </w:pPr>
            <w:bookmarkStart w:id="0" w:name="_GoBack"/>
            <w:bookmarkEnd w:id="0"/>
            <w:r>
              <w:t>PLACE PLANNING AND REGENERATION</w:t>
            </w:r>
          </w:p>
          <w:p w14:paraId="269AC3F5" w14:textId="77777777" w:rsidR="006B2092" w:rsidRDefault="006B2092">
            <w:pPr>
              <w:pStyle w:val="Heading2"/>
            </w:pPr>
          </w:p>
          <w:p w14:paraId="1A5C62C0" w14:textId="77777777" w:rsidR="006B2092" w:rsidRDefault="006B2092"/>
          <w:p w14:paraId="654523EF" w14:textId="77777777" w:rsidR="006B2092" w:rsidRDefault="006B2092">
            <w:pPr>
              <w:pStyle w:val="Heading3"/>
            </w:pPr>
            <w:r>
              <w:t>Memorandum:</w:t>
            </w:r>
          </w:p>
          <w:p w14:paraId="28806CE7" w14:textId="77777777" w:rsidR="006B2092" w:rsidRDefault="006B2092">
            <w:pPr>
              <w:pStyle w:val="Heading3"/>
            </w:pPr>
            <w:r>
              <w:t>Internal e-planning consultation</w:t>
            </w:r>
          </w:p>
        </w:tc>
        <w:tc>
          <w:tcPr>
            <w:tcW w:w="1984" w:type="dxa"/>
            <w:gridSpan w:val="3"/>
            <w:tcBorders>
              <w:top w:val="nil"/>
              <w:left w:val="nil"/>
              <w:bottom w:val="nil"/>
              <w:right w:val="nil"/>
            </w:tcBorders>
          </w:tcPr>
          <w:p w14:paraId="61DEB507" w14:textId="29D50773" w:rsidR="006B2092" w:rsidRDefault="00FF06E0">
            <w:pPr>
              <w:jc w:val="right"/>
            </w:pPr>
            <w:r>
              <w:rPr>
                <w:noProof/>
              </w:rPr>
              <w:drawing>
                <wp:inline distT="0" distB="0" distL="0" distR="0" wp14:anchorId="40C9D3A1" wp14:editId="1152A01C">
                  <wp:extent cx="10350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838200"/>
                          </a:xfrm>
                          <a:prstGeom prst="rect">
                            <a:avLst/>
                          </a:prstGeom>
                          <a:noFill/>
                          <a:ln>
                            <a:noFill/>
                          </a:ln>
                        </pic:spPr>
                      </pic:pic>
                    </a:graphicData>
                  </a:graphic>
                </wp:inline>
              </w:drawing>
            </w:r>
          </w:p>
        </w:tc>
      </w:tr>
      <w:tr w:rsidR="006B2092" w14:paraId="7CFE3D68" w14:textId="77777777">
        <w:tblPrEx>
          <w:jc w:val="center"/>
          <w:tblBorders>
            <w:top w:val="single" w:sz="12" w:space="0" w:color="auto"/>
            <w:left w:val="single" w:sz="12" w:space="0" w:color="auto"/>
            <w:bottom w:val="single" w:sz="12" w:space="0" w:color="auto"/>
            <w:right w:val="single" w:sz="12" w:space="0" w:color="auto"/>
          </w:tblBorders>
        </w:tblPrEx>
        <w:trPr>
          <w:gridAfter w:val="1"/>
          <w:wAfter w:w="122" w:type="dxa"/>
          <w:cantSplit/>
          <w:trHeight w:val="683"/>
          <w:jc w:val="center"/>
        </w:trPr>
        <w:tc>
          <w:tcPr>
            <w:tcW w:w="1058" w:type="dxa"/>
            <w:gridSpan w:val="2"/>
            <w:vMerge w:val="restart"/>
            <w:tcBorders>
              <w:top w:val="single" w:sz="12" w:space="0" w:color="auto"/>
              <w:bottom w:val="nil"/>
              <w:right w:val="nil"/>
            </w:tcBorders>
          </w:tcPr>
          <w:p w14:paraId="52D0F256" w14:textId="77777777" w:rsidR="006B2092" w:rsidRDefault="006B2092">
            <w:pPr>
              <w:spacing w:before="120" w:after="120"/>
              <w:rPr>
                <w:rFonts w:ascii="Arial" w:hAnsi="Arial" w:cs="Arial"/>
                <w:b/>
                <w:bCs/>
                <w:sz w:val="18"/>
                <w:szCs w:val="18"/>
              </w:rPr>
            </w:pPr>
            <w:r>
              <w:rPr>
                <w:rFonts w:ascii="Arial" w:hAnsi="Arial" w:cs="Arial"/>
                <w:b/>
                <w:bCs/>
                <w:sz w:val="18"/>
                <w:szCs w:val="18"/>
              </w:rPr>
              <w:t>To:</w:t>
            </w:r>
          </w:p>
          <w:p w14:paraId="34EDA1D6" w14:textId="77777777" w:rsidR="006B2092" w:rsidRDefault="006B2092">
            <w:pPr>
              <w:spacing w:before="120" w:after="120"/>
              <w:rPr>
                <w:rFonts w:ascii="Arial Narrow" w:hAnsi="Arial Narrow" w:cs="Arial Narrow"/>
                <w:b/>
                <w:bCs/>
                <w:i/>
                <w:iCs/>
                <w:color w:val="C0C0C0"/>
                <w:sz w:val="16"/>
                <w:szCs w:val="16"/>
              </w:rPr>
            </w:pPr>
          </w:p>
        </w:tc>
        <w:tc>
          <w:tcPr>
            <w:tcW w:w="6823" w:type="dxa"/>
            <w:vMerge w:val="restart"/>
            <w:tcBorders>
              <w:top w:val="single" w:sz="12" w:space="0" w:color="auto"/>
              <w:left w:val="nil"/>
              <w:bottom w:val="nil"/>
              <w:right w:val="single" w:sz="4" w:space="0" w:color="auto"/>
            </w:tcBorders>
          </w:tcPr>
          <w:p w14:paraId="1B666B5B" w14:textId="77777777" w:rsidR="006B2092" w:rsidRDefault="006B2092">
            <w:pPr>
              <w:rPr>
                <w:rFonts w:ascii="Arial" w:hAnsi="Arial" w:cs="Arial"/>
                <w:sz w:val="22"/>
                <w:szCs w:val="22"/>
              </w:rPr>
            </w:pPr>
          </w:p>
          <w:p w14:paraId="43314904" w14:textId="77777777" w:rsidR="006B2092" w:rsidRDefault="006B2092">
            <w:pPr>
              <w:rPr>
                <w:rFonts w:ascii="Arial" w:hAnsi="Arial" w:cs="Arial"/>
                <w:sz w:val="22"/>
                <w:szCs w:val="22"/>
              </w:rPr>
            </w:pPr>
            <w:r>
              <w:rPr>
                <w:rFonts w:ascii="Arial" w:hAnsi="Arial" w:cs="Arial"/>
                <w:sz w:val="22"/>
                <w:szCs w:val="22"/>
              </w:rPr>
              <w:t>Transport Development</w:t>
            </w:r>
          </w:p>
          <w:p w14:paraId="54CAF8D1" w14:textId="77777777" w:rsidR="006B2092" w:rsidRDefault="006B2092">
            <w:pPr>
              <w:rPr>
                <w:rFonts w:ascii="Arial" w:hAnsi="Arial" w:cs="Arial"/>
                <w:sz w:val="22"/>
                <w:szCs w:val="22"/>
              </w:rPr>
            </w:pPr>
            <w:r>
              <w:rPr>
                <w:rFonts w:ascii="Arial" w:hAnsi="Arial" w:cs="Arial"/>
                <w:sz w:val="22"/>
                <w:szCs w:val="22"/>
              </w:rPr>
              <w:t>Urban Design Officer</w:t>
            </w:r>
          </w:p>
          <w:p w14:paraId="09B84604" w14:textId="77777777" w:rsidR="006B2092" w:rsidRDefault="006B2092">
            <w:pPr>
              <w:rPr>
                <w:rFonts w:ascii="Arial" w:hAnsi="Arial" w:cs="Arial"/>
                <w:sz w:val="22"/>
                <w:szCs w:val="22"/>
              </w:rPr>
            </w:pPr>
            <w:r>
              <w:rPr>
                <w:rFonts w:ascii="Arial" w:hAnsi="Arial" w:cs="Arial"/>
                <w:sz w:val="22"/>
                <w:szCs w:val="22"/>
              </w:rPr>
              <w:t>Environmental Health and Safety</w:t>
            </w:r>
          </w:p>
          <w:p w14:paraId="7D62C3FE" w14:textId="77777777" w:rsidR="006B2092" w:rsidRDefault="006B2092">
            <w:pPr>
              <w:rPr>
                <w:rFonts w:ascii="Arial" w:hAnsi="Arial" w:cs="Arial"/>
                <w:sz w:val="22"/>
                <w:szCs w:val="22"/>
              </w:rPr>
            </w:pPr>
            <w:r>
              <w:rPr>
                <w:rFonts w:ascii="Arial" w:hAnsi="Arial" w:cs="Arial"/>
                <w:sz w:val="22"/>
                <w:szCs w:val="22"/>
              </w:rPr>
              <w:t>Lead Local Flood Authority</w:t>
            </w:r>
          </w:p>
          <w:p w14:paraId="5105DE7C" w14:textId="77777777" w:rsidR="006B2092" w:rsidRDefault="006B2092">
            <w:pPr>
              <w:rPr>
                <w:rFonts w:ascii="Arial" w:hAnsi="Arial" w:cs="Arial"/>
                <w:sz w:val="22"/>
                <w:szCs w:val="22"/>
              </w:rPr>
            </w:pPr>
            <w:r>
              <w:rPr>
                <w:rFonts w:ascii="Arial" w:hAnsi="Arial" w:cs="Arial"/>
                <w:sz w:val="22"/>
                <w:szCs w:val="22"/>
              </w:rPr>
              <w:t>Environmental Policy Officer (SPA)</w:t>
            </w:r>
          </w:p>
          <w:p w14:paraId="69351496" w14:textId="77777777" w:rsidR="006B2092" w:rsidRDefault="006B2092">
            <w:pPr>
              <w:rPr>
                <w:rFonts w:ascii="Arial" w:hAnsi="Arial" w:cs="Arial"/>
                <w:sz w:val="22"/>
                <w:szCs w:val="22"/>
              </w:rPr>
            </w:pPr>
            <w:r>
              <w:rPr>
                <w:rFonts w:ascii="Arial" w:hAnsi="Arial" w:cs="Arial"/>
                <w:sz w:val="22"/>
                <w:szCs w:val="22"/>
              </w:rPr>
              <w:t>Environmental Policy</w:t>
            </w:r>
          </w:p>
          <w:p w14:paraId="34639AA8" w14:textId="77777777" w:rsidR="006B2092" w:rsidRDefault="006B2092">
            <w:pPr>
              <w:rPr>
                <w:rFonts w:ascii="Arial" w:hAnsi="Arial" w:cs="Arial"/>
                <w:sz w:val="22"/>
                <w:szCs w:val="22"/>
              </w:rPr>
            </w:pPr>
            <w:r>
              <w:rPr>
                <w:rFonts w:ascii="Arial" w:hAnsi="Arial" w:cs="Arial"/>
                <w:sz w:val="22"/>
                <w:szCs w:val="22"/>
              </w:rPr>
              <w:t>Biodiversity Officer</w:t>
            </w:r>
          </w:p>
          <w:p w14:paraId="6C30E28A" w14:textId="77777777" w:rsidR="006B2092" w:rsidRDefault="006B2092">
            <w:pPr>
              <w:rPr>
                <w:rFonts w:ascii="Arial" w:hAnsi="Arial" w:cs="Arial"/>
                <w:sz w:val="22"/>
                <w:szCs w:val="22"/>
              </w:rPr>
            </w:pPr>
            <w:r>
              <w:rPr>
                <w:rFonts w:ascii="Arial" w:hAnsi="Arial" w:cs="Arial"/>
                <w:sz w:val="22"/>
                <w:szCs w:val="22"/>
              </w:rPr>
              <w:t>Implementation</w:t>
            </w:r>
          </w:p>
          <w:p w14:paraId="2A6FBB39" w14:textId="77777777" w:rsidR="006B2092" w:rsidRDefault="006B2092">
            <w:pPr>
              <w:rPr>
                <w:rFonts w:ascii="Arial" w:hAnsi="Arial" w:cs="Arial"/>
                <w:sz w:val="22"/>
                <w:szCs w:val="22"/>
              </w:rPr>
            </w:pPr>
          </w:p>
          <w:p w14:paraId="1B6E538C" w14:textId="77777777" w:rsidR="006B2092" w:rsidRDefault="006B2092">
            <w:pPr>
              <w:rPr>
                <w:rFonts w:ascii="Arial" w:hAnsi="Arial" w:cs="Arial"/>
                <w:sz w:val="22"/>
                <w:szCs w:val="22"/>
              </w:rPr>
            </w:pPr>
          </w:p>
        </w:tc>
        <w:tc>
          <w:tcPr>
            <w:tcW w:w="993" w:type="dxa"/>
            <w:tcBorders>
              <w:top w:val="single" w:sz="12" w:space="0" w:color="auto"/>
              <w:left w:val="single" w:sz="4" w:space="0" w:color="auto"/>
              <w:bottom w:val="nil"/>
              <w:right w:val="nil"/>
            </w:tcBorders>
          </w:tcPr>
          <w:p w14:paraId="7287F387" w14:textId="77777777" w:rsidR="006B2092" w:rsidRDefault="006B2092">
            <w:pPr>
              <w:spacing w:before="120" w:after="120"/>
              <w:rPr>
                <w:rFonts w:ascii="Arial" w:hAnsi="Arial" w:cs="Arial"/>
                <w:b/>
                <w:bCs/>
                <w:sz w:val="18"/>
                <w:szCs w:val="18"/>
              </w:rPr>
            </w:pPr>
            <w:r>
              <w:rPr>
                <w:rFonts w:ascii="Arial" w:hAnsi="Arial" w:cs="Arial"/>
                <w:b/>
                <w:bCs/>
                <w:sz w:val="18"/>
                <w:szCs w:val="18"/>
              </w:rPr>
              <w:t>From:</w:t>
            </w:r>
          </w:p>
        </w:tc>
        <w:tc>
          <w:tcPr>
            <w:tcW w:w="2027" w:type="dxa"/>
            <w:gridSpan w:val="3"/>
            <w:tcBorders>
              <w:top w:val="single" w:sz="12" w:space="0" w:color="auto"/>
              <w:left w:val="nil"/>
              <w:bottom w:val="nil"/>
            </w:tcBorders>
          </w:tcPr>
          <w:p w14:paraId="649681CB" w14:textId="77777777" w:rsidR="006B2092" w:rsidRDefault="006B2092">
            <w:pPr>
              <w:spacing w:before="120"/>
            </w:pPr>
            <w:r>
              <w:rPr>
                <w:rFonts w:ascii="Arial" w:hAnsi="Arial" w:cs="Arial"/>
                <w:sz w:val="22"/>
                <w:szCs w:val="22"/>
              </w:rPr>
              <w:t>Trevor Yerworth</w:t>
            </w:r>
          </w:p>
        </w:tc>
      </w:tr>
      <w:tr w:rsidR="006B2092" w14:paraId="0CFDB275" w14:textId="77777777">
        <w:tblPrEx>
          <w:jc w:val="center"/>
          <w:tblBorders>
            <w:top w:val="single" w:sz="12" w:space="0" w:color="auto"/>
            <w:left w:val="single" w:sz="12" w:space="0" w:color="auto"/>
            <w:bottom w:val="single" w:sz="12" w:space="0" w:color="auto"/>
            <w:right w:val="single" w:sz="12" w:space="0" w:color="auto"/>
          </w:tblBorders>
        </w:tblPrEx>
        <w:trPr>
          <w:gridAfter w:val="1"/>
          <w:wAfter w:w="122" w:type="dxa"/>
          <w:cantSplit/>
          <w:trHeight w:val="859"/>
          <w:jc w:val="center"/>
        </w:trPr>
        <w:tc>
          <w:tcPr>
            <w:tcW w:w="1058" w:type="dxa"/>
            <w:gridSpan w:val="2"/>
            <w:vMerge/>
            <w:tcBorders>
              <w:top w:val="nil"/>
              <w:bottom w:val="nil"/>
              <w:right w:val="nil"/>
            </w:tcBorders>
          </w:tcPr>
          <w:p w14:paraId="4086B7DE" w14:textId="77777777" w:rsidR="006B2092" w:rsidRDefault="006B2092">
            <w:pPr>
              <w:spacing w:before="120" w:after="120"/>
              <w:rPr>
                <w:rFonts w:ascii="Arial" w:hAnsi="Arial" w:cs="Arial"/>
                <w:b/>
                <w:bCs/>
                <w:sz w:val="16"/>
                <w:szCs w:val="16"/>
              </w:rPr>
            </w:pPr>
          </w:p>
        </w:tc>
        <w:tc>
          <w:tcPr>
            <w:tcW w:w="6823" w:type="dxa"/>
            <w:vMerge/>
            <w:tcBorders>
              <w:top w:val="nil"/>
              <w:left w:val="nil"/>
              <w:bottom w:val="nil"/>
              <w:right w:val="single" w:sz="4" w:space="0" w:color="auto"/>
            </w:tcBorders>
          </w:tcPr>
          <w:p w14:paraId="0B488782" w14:textId="77777777" w:rsidR="006B2092" w:rsidRDefault="006B2092">
            <w:pPr>
              <w:spacing w:before="120" w:after="80"/>
              <w:ind w:left="-11"/>
              <w:rPr>
                <w:rFonts w:ascii="Arial" w:hAnsi="Arial" w:cs="Arial"/>
                <w:b/>
                <w:bCs/>
                <w:sz w:val="22"/>
                <w:szCs w:val="22"/>
              </w:rPr>
            </w:pPr>
          </w:p>
        </w:tc>
        <w:tc>
          <w:tcPr>
            <w:tcW w:w="993" w:type="dxa"/>
            <w:tcBorders>
              <w:top w:val="nil"/>
              <w:left w:val="single" w:sz="4" w:space="0" w:color="auto"/>
              <w:bottom w:val="nil"/>
              <w:right w:val="nil"/>
            </w:tcBorders>
          </w:tcPr>
          <w:p w14:paraId="7883411E" w14:textId="77777777" w:rsidR="006B2092" w:rsidRDefault="006B2092">
            <w:pPr>
              <w:spacing w:before="120" w:after="120"/>
              <w:rPr>
                <w:rFonts w:ascii="Arial" w:hAnsi="Arial" w:cs="Arial"/>
                <w:b/>
                <w:bCs/>
                <w:sz w:val="18"/>
                <w:szCs w:val="18"/>
              </w:rPr>
            </w:pPr>
            <w:r>
              <w:rPr>
                <w:rFonts w:ascii="Arial" w:hAnsi="Arial" w:cs="Arial"/>
                <w:b/>
                <w:bCs/>
                <w:sz w:val="18"/>
                <w:szCs w:val="18"/>
              </w:rPr>
              <w:t>Direct Line No.</w:t>
            </w:r>
          </w:p>
        </w:tc>
        <w:tc>
          <w:tcPr>
            <w:tcW w:w="2027" w:type="dxa"/>
            <w:gridSpan w:val="3"/>
            <w:tcBorders>
              <w:top w:val="nil"/>
              <w:left w:val="nil"/>
              <w:bottom w:val="nil"/>
            </w:tcBorders>
          </w:tcPr>
          <w:p w14:paraId="5E661342" w14:textId="77777777" w:rsidR="006B2092" w:rsidRDefault="006B2092">
            <w:pPr>
              <w:pStyle w:val="Heading4"/>
              <w:spacing w:before="120" w:after="120"/>
              <w:rPr>
                <w:i w:val="0"/>
                <w:iCs w:val="0"/>
              </w:rPr>
            </w:pPr>
            <w:r>
              <w:rPr>
                <w:i w:val="0"/>
                <w:iCs w:val="0"/>
              </w:rPr>
              <w:t>01344 351182</w:t>
            </w:r>
          </w:p>
        </w:tc>
      </w:tr>
      <w:tr w:rsidR="006B2092" w14:paraId="6E143198" w14:textId="77777777">
        <w:tblPrEx>
          <w:jc w:val="center"/>
          <w:tblBorders>
            <w:top w:val="single" w:sz="12" w:space="0" w:color="auto"/>
            <w:left w:val="single" w:sz="12" w:space="0" w:color="auto"/>
            <w:bottom w:val="single" w:sz="12" w:space="0" w:color="auto"/>
            <w:right w:val="single" w:sz="12" w:space="0" w:color="auto"/>
          </w:tblBorders>
        </w:tblPrEx>
        <w:trPr>
          <w:gridAfter w:val="1"/>
          <w:wAfter w:w="122" w:type="dxa"/>
          <w:cantSplit/>
          <w:trHeight w:val="991"/>
          <w:jc w:val="center"/>
        </w:trPr>
        <w:tc>
          <w:tcPr>
            <w:tcW w:w="1058" w:type="dxa"/>
            <w:gridSpan w:val="2"/>
            <w:vMerge/>
            <w:tcBorders>
              <w:top w:val="nil"/>
              <w:bottom w:val="single" w:sz="4" w:space="0" w:color="auto"/>
              <w:right w:val="nil"/>
            </w:tcBorders>
          </w:tcPr>
          <w:p w14:paraId="7BB3E00F" w14:textId="77777777" w:rsidR="006B2092" w:rsidRDefault="006B2092">
            <w:pPr>
              <w:spacing w:before="120" w:after="120"/>
              <w:rPr>
                <w:rFonts w:ascii="Arial" w:hAnsi="Arial" w:cs="Arial"/>
                <w:b/>
                <w:bCs/>
                <w:sz w:val="16"/>
                <w:szCs w:val="16"/>
              </w:rPr>
            </w:pPr>
          </w:p>
        </w:tc>
        <w:tc>
          <w:tcPr>
            <w:tcW w:w="6823" w:type="dxa"/>
            <w:vMerge/>
            <w:tcBorders>
              <w:top w:val="nil"/>
              <w:left w:val="nil"/>
              <w:bottom w:val="single" w:sz="4" w:space="0" w:color="auto"/>
              <w:right w:val="single" w:sz="4" w:space="0" w:color="auto"/>
            </w:tcBorders>
          </w:tcPr>
          <w:p w14:paraId="3EA78A13" w14:textId="77777777" w:rsidR="006B2092" w:rsidRDefault="006B2092">
            <w:pPr>
              <w:spacing w:before="120" w:after="80"/>
              <w:ind w:left="-11"/>
              <w:rPr>
                <w:rFonts w:ascii="Arial" w:hAnsi="Arial" w:cs="Arial"/>
                <w:b/>
                <w:bCs/>
                <w:sz w:val="22"/>
                <w:szCs w:val="22"/>
              </w:rPr>
            </w:pPr>
          </w:p>
        </w:tc>
        <w:tc>
          <w:tcPr>
            <w:tcW w:w="993" w:type="dxa"/>
            <w:tcBorders>
              <w:top w:val="nil"/>
              <w:left w:val="single" w:sz="4" w:space="0" w:color="auto"/>
              <w:bottom w:val="nil"/>
              <w:right w:val="nil"/>
            </w:tcBorders>
          </w:tcPr>
          <w:p w14:paraId="3C68C0A9" w14:textId="77777777" w:rsidR="006B2092" w:rsidRDefault="006B2092">
            <w:pPr>
              <w:spacing w:before="120"/>
              <w:rPr>
                <w:rFonts w:ascii="Arial" w:hAnsi="Arial" w:cs="Arial"/>
                <w:b/>
                <w:bCs/>
                <w:sz w:val="18"/>
                <w:szCs w:val="18"/>
              </w:rPr>
            </w:pPr>
            <w:r>
              <w:rPr>
                <w:rFonts w:ascii="Arial" w:hAnsi="Arial" w:cs="Arial"/>
                <w:b/>
                <w:bCs/>
                <w:sz w:val="18"/>
                <w:szCs w:val="18"/>
              </w:rPr>
              <w:t>Dated:</w:t>
            </w:r>
          </w:p>
          <w:p w14:paraId="19B3F15B" w14:textId="77777777" w:rsidR="006B2092" w:rsidRDefault="006B2092">
            <w:pPr>
              <w:rPr>
                <w:rFonts w:ascii="Arial" w:hAnsi="Arial" w:cs="Arial"/>
                <w:sz w:val="18"/>
                <w:szCs w:val="18"/>
              </w:rPr>
            </w:pPr>
          </w:p>
          <w:p w14:paraId="273F015C" w14:textId="77777777" w:rsidR="006B2092" w:rsidRDefault="006B2092">
            <w:pPr>
              <w:rPr>
                <w:rFonts w:ascii="Arial" w:hAnsi="Arial" w:cs="Arial"/>
                <w:b/>
                <w:bCs/>
                <w:sz w:val="18"/>
                <w:szCs w:val="18"/>
              </w:rPr>
            </w:pPr>
            <w:r>
              <w:rPr>
                <w:rFonts w:ascii="Arial" w:hAnsi="Arial" w:cs="Arial"/>
                <w:b/>
                <w:bCs/>
                <w:sz w:val="18"/>
                <w:szCs w:val="18"/>
              </w:rPr>
              <w:t>Doc Ref:</w:t>
            </w:r>
          </w:p>
          <w:p w14:paraId="3723DCF8" w14:textId="77777777" w:rsidR="006B2092" w:rsidRDefault="006B2092">
            <w:pPr>
              <w:rPr>
                <w:rFonts w:ascii="Arial" w:hAnsi="Arial" w:cs="Arial"/>
                <w:b/>
                <w:bCs/>
                <w:sz w:val="18"/>
                <w:szCs w:val="18"/>
              </w:rPr>
            </w:pPr>
          </w:p>
          <w:p w14:paraId="75E0F8EC" w14:textId="77777777" w:rsidR="006B2092" w:rsidRDefault="006B2092">
            <w:pPr>
              <w:rPr>
                <w:rFonts w:ascii="Arial" w:hAnsi="Arial" w:cs="Arial"/>
                <w:b/>
                <w:bCs/>
                <w:sz w:val="18"/>
                <w:szCs w:val="18"/>
              </w:rPr>
            </w:pPr>
            <w:r>
              <w:rPr>
                <w:rFonts w:ascii="Arial" w:hAnsi="Arial" w:cs="Arial"/>
                <w:b/>
                <w:bCs/>
                <w:sz w:val="18"/>
                <w:szCs w:val="18"/>
              </w:rPr>
              <w:t>Valid Date:</w:t>
            </w:r>
          </w:p>
        </w:tc>
        <w:tc>
          <w:tcPr>
            <w:tcW w:w="2027" w:type="dxa"/>
            <w:gridSpan w:val="3"/>
            <w:tcBorders>
              <w:top w:val="nil"/>
              <w:left w:val="nil"/>
              <w:bottom w:val="nil"/>
            </w:tcBorders>
          </w:tcPr>
          <w:p w14:paraId="52BA65FA" w14:textId="77777777" w:rsidR="006B2092" w:rsidRDefault="006B2092">
            <w:pPr>
              <w:pStyle w:val="Heading4"/>
              <w:spacing w:before="120"/>
              <w:rPr>
                <w:i w:val="0"/>
                <w:iCs w:val="0"/>
                <w:sz w:val="18"/>
                <w:szCs w:val="18"/>
              </w:rPr>
            </w:pPr>
            <w:r>
              <w:rPr>
                <w:i w:val="0"/>
                <w:iCs w:val="0"/>
                <w:sz w:val="18"/>
                <w:szCs w:val="18"/>
              </w:rPr>
              <w:t>17.11.2020</w:t>
            </w:r>
          </w:p>
          <w:p w14:paraId="53E7058E" w14:textId="77777777" w:rsidR="006B2092" w:rsidRDefault="006B2092">
            <w:pPr>
              <w:rPr>
                <w:rFonts w:ascii="Arial" w:hAnsi="Arial" w:cs="Arial"/>
                <w:sz w:val="18"/>
                <w:szCs w:val="18"/>
              </w:rPr>
            </w:pPr>
          </w:p>
          <w:p w14:paraId="60CCFB57" w14:textId="77777777" w:rsidR="006B2092" w:rsidRDefault="006B2092">
            <w:pPr>
              <w:rPr>
                <w:rFonts w:ascii="Arial" w:hAnsi="Arial" w:cs="Arial"/>
                <w:sz w:val="18"/>
                <w:szCs w:val="18"/>
              </w:rPr>
            </w:pPr>
            <w:r>
              <w:rPr>
                <w:rFonts w:ascii="Arial" w:hAnsi="Arial" w:cs="Arial"/>
                <w:sz w:val="18"/>
                <w:szCs w:val="18"/>
              </w:rPr>
              <w:t>EMEMO</w:t>
            </w:r>
          </w:p>
          <w:p w14:paraId="32D321E1" w14:textId="77777777" w:rsidR="006B2092" w:rsidRDefault="006B2092">
            <w:pPr>
              <w:rPr>
                <w:rFonts w:ascii="Arial" w:hAnsi="Arial" w:cs="Arial"/>
                <w:sz w:val="18"/>
                <w:szCs w:val="18"/>
              </w:rPr>
            </w:pPr>
          </w:p>
          <w:p w14:paraId="68C79671" w14:textId="77777777" w:rsidR="006B2092" w:rsidRDefault="006B2092">
            <w:pPr>
              <w:rPr>
                <w:rFonts w:ascii="Arial" w:hAnsi="Arial" w:cs="Arial"/>
                <w:sz w:val="18"/>
                <w:szCs w:val="18"/>
              </w:rPr>
            </w:pPr>
            <w:r>
              <w:rPr>
                <w:rFonts w:ascii="Arial" w:hAnsi="Arial" w:cs="Arial"/>
                <w:sz w:val="22"/>
                <w:szCs w:val="22"/>
              </w:rPr>
              <w:t>28th October 2020</w:t>
            </w:r>
          </w:p>
          <w:p w14:paraId="4BE367DC" w14:textId="77777777" w:rsidR="006B2092" w:rsidRDefault="006B2092">
            <w:pPr>
              <w:rPr>
                <w:sz w:val="18"/>
                <w:szCs w:val="18"/>
              </w:rPr>
            </w:pPr>
          </w:p>
        </w:tc>
      </w:tr>
      <w:tr w:rsidR="006B2092" w14:paraId="77D56ECE" w14:textId="77777777">
        <w:tblPrEx>
          <w:jc w:val="center"/>
          <w:tblBorders>
            <w:top w:val="single" w:sz="12" w:space="0" w:color="auto"/>
            <w:left w:val="single" w:sz="12" w:space="0" w:color="auto"/>
            <w:bottom w:val="single" w:sz="12" w:space="0" w:color="auto"/>
            <w:right w:val="single" w:sz="12" w:space="0" w:color="auto"/>
          </w:tblBorders>
        </w:tblPrEx>
        <w:trPr>
          <w:gridAfter w:val="2"/>
          <w:wAfter w:w="137" w:type="dxa"/>
          <w:cantSplit/>
          <w:trHeight w:val="509"/>
          <w:jc w:val="center"/>
        </w:trPr>
        <w:tc>
          <w:tcPr>
            <w:tcW w:w="1050" w:type="dxa"/>
            <w:tcBorders>
              <w:top w:val="single" w:sz="4" w:space="0" w:color="auto"/>
              <w:bottom w:val="single" w:sz="4" w:space="0" w:color="auto"/>
              <w:right w:val="nil"/>
            </w:tcBorders>
          </w:tcPr>
          <w:p w14:paraId="17BF89C9" w14:textId="77777777" w:rsidR="006B2092" w:rsidRDefault="006B2092">
            <w:pPr>
              <w:spacing w:before="80" w:after="80"/>
              <w:rPr>
                <w:rFonts w:ascii="Arial" w:hAnsi="Arial" w:cs="Arial"/>
                <w:sz w:val="18"/>
                <w:szCs w:val="18"/>
              </w:rPr>
            </w:pPr>
            <w:r>
              <w:rPr>
                <w:rFonts w:ascii="Arial" w:hAnsi="Arial" w:cs="Arial"/>
                <w:b/>
                <w:bCs/>
                <w:sz w:val="18"/>
                <w:szCs w:val="18"/>
              </w:rPr>
              <w:t>Ref:</w:t>
            </w:r>
          </w:p>
        </w:tc>
        <w:tc>
          <w:tcPr>
            <w:tcW w:w="9836" w:type="dxa"/>
            <w:gridSpan w:val="5"/>
            <w:tcBorders>
              <w:top w:val="single" w:sz="4" w:space="0" w:color="auto"/>
              <w:left w:val="nil"/>
              <w:bottom w:val="single" w:sz="4" w:space="0" w:color="auto"/>
            </w:tcBorders>
            <w:vAlign w:val="center"/>
          </w:tcPr>
          <w:p w14:paraId="2A159759" w14:textId="77777777" w:rsidR="006B2092" w:rsidRDefault="006B2092">
            <w:pPr>
              <w:pStyle w:val="Heading4"/>
              <w:rPr>
                <w:b/>
                <w:bCs/>
                <w:sz w:val="18"/>
                <w:szCs w:val="18"/>
              </w:rPr>
            </w:pPr>
            <w:r>
              <w:rPr>
                <w:i w:val="0"/>
                <w:iCs w:val="0"/>
              </w:rPr>
              <w:t>20/00860/OUT</w:t>
            </w:r>
            <w:r>
              <w:rPr>
                <w:b/>
                <w:bCs/>
                <w:sz w:val="18"/>
                <w:szCs w:val="18"/>
              </w:rPr>
              <w:t xml:space="preserve"> (Please quote this on all correspondence)</w:t>
            </w:r>
          </w:p>
          <w:p w14:paraId="195BF512" w14:textId="77777777" w:rsidR="006B2092" w:rsidRDefault="006B2092">
            <w:r>
              <w:rPr>
                <w:rFonts w:ascii="Arial" w:hAnsi="Arial" w:cs="Arial"/>
                <w:sz w:val="22"/>
                <w:szCs w:val="22"/>
              </w:rPr>
              <w:t>Original Planning Number (if applicable): PP-09197766</w:t>
            </w:r>
          </w:p>
        </w:tc>
      </w:tr>
      <w:tr w:rsidR="006B2092" w14:paraId="5525B382" w14:textId="77777777">
        <w:tblPrEx>
          <w:jc w:val="center"/>
          <w:tblBorders>
            <w:top w:val="single" w:sz="12" w:space="0" w:color="auto"/>
            <w:left w:val="single" w:sz="12" w:space="0" w:color="auto"/>
            <w:bottom w:val="single" w:sz="12" w:space="0" w:color="auto"/>
            <w:right w:val="single" w:sz="12" w:space="0" w:color="auto"/>
          </w:tblBorders>
        </w:tblPrEx>
        <w:trPr>
          <w:gridAfter w:val="2"/>
          <w:wAfter w:w="137" w:type="dxa"/>
          <w:cantSplit/>
          <w:trHeight w:val="579"/>
          <w:jc w:val="center"/>
        </w:trPr>
        <w:tc>
          <w:tcPr>
            <w:tcW w:w="1050" w:type="dxa"/>
            <w:tcBorders>
              <w:top w:val="single" w:sz="4" w:space="0" w:color="auto"/>
              <w:bottom w:val="single" w:sz="4" w:space="0" w:color="auto"/>
              <w:right w:val="nil"/>
            </w:tcBorders>
          </w:tcPr>
          <w:p w14:paraId="5208C8AD" w14:textId="77777777" w:rsidR="006B2092" w:rsidRDefault="006B2092">
            <w:pPr>
              <w:spacing w:before="80" w:after="80"/>
              <w:rPr>
                <w:rFonts w:ascii="Arial" w:hAnsi="Arial" w:cs="Arial"/>
                <w:b/>
                <w:bCs/>
                <w:sz w:val="18"/>
                <w:szCs w:val="18"/>
              </w:rPr>
            </w:pPr>
            <w:r>
              <w:rPr>
                <w:rFonts w:ascii="Arial" w:hAnsi="Arial" w:cs="Arial"/>
                <w:b/>
                <w:bCs/>
                <w:sz w:val="18"/>
                <w:szCs w:val="18"/>
              </w:rPr>
              <w:t>Proposal:</w:t>
            </w:r>
          </w:p>
        </w:tc>
        <w:tc>
          <w:tcPr>
            <w:tcW w:w="9836" w:type="dxa"/>
            <w:gridSpan w:val="5"/>
            <w:tcBorders>
              <w:top w:val="nil"/>
              <w:left w:val="nil"/>
              <w:bottom w:val="single" w:sz="4" w:space="0" w:color="auto"/>
            </w:tcBorders>
            <w:vAlign w:val="center"/>
          </w:tcPr>
          <w:p w14:paraId="360767CB" w14:textId="77777777" w:rsidR="006B2092" w:rsidRDefault="006B2092">
            <w:pPr>
              <w:pStyle w:val="Heading4"/>
              <w:rPr>
                <w:i w:val="0"/>
                <w:iCs w:val="0"/>
              </w:rPr>
            </w:pPr>
            <w:r>
              <w:rPr>
                <w:i w:val="0"/>
                <w:iCs w:val="0"/>
              </w:rPr>
              <w:t>Outline application for the erection of three detached buildings comprising a total of 15 flats following for the demolition of all the existing buildings on the site with issues of access and layout only to be determined.</w:t>
            </w:r>
          </w:p>
        </w:tc>
      </w:tr>
      <w:tr w:rsidR="006B2092" w14:paraId="06211671" w14:textId="77777777">
        <w:tblPrEx>
          <w:jc w:val="center"/>
          <w:tblBorders>
            <w:top w:val="single" w:sz="12" w:space="0" w:color="auto"/>
            <w:left w:val="single" w:sz="12" w:space="0" w:color="auto"/>
            <w:bottom w:val="single" w:sz="12" w:space="0" w:color="auto"/>
            <w:right w:val="single" w:sz="12" w:space="0" w:color="auto"/>
          </w:tblBorders>
        </w:tblPrEx>
        <w:trPr>
          <w:gridAfter w:val="2"/>
          <w:wAfter w:w="137" w:type="dxa"/>
          <w:cantSplit/>
          <w:jc w:val="center"/>
        </w:trPr>
        <w:tc>
          <w:tcPr>
            <w:tcW w:w="1050" w:type="dxa"/>
            <w:tcBorders>
              <w:top w:val="single" w:sz="4" w:space="0" w:color="auto"/>
              <w:bottom w:val="single" w:sz="4" w:space="0" w:color="auto"/>
              <w:right w:val="nil"/>
            </w:tcBorders>
          </w:tcPr>
          <w:p w14:paraId="2264571F" w14:textId="77777777" w:rsidR="006B2092" w:rsidRDefault="006B2092">
            <w:pPr>
              <w:spacing w:before="80" w:after="80"/>
              <w:rPr>
                <w:rFonts w:ascii="Arial" w:hAnsi="Arial" w:cs="Arial"/>
                <w:b/>
                <w:bCs/>
                <w:sz w:val="18"/>
                <w:szCs w:val="18"/>
              </w:rPr>
            </w:pPr>
            <w:r>
              <w:rPr>
                <w:rFonts w:ascii="Arial" w:hAnsi="Arial" w:cs="Arial"/>
                <w:b/>
                <w:bCs/>
                <w:sz w:val="18"/>
                <w:szCs w:val="18"/>
              </w:rPr>
              <w:t>Location:</w:t>
            </w:r>
          </w:p>
        </w:tc>
        <w:tc>
          <w:tcPr>
            <w:tcW w:w="9836" w:type="dxa"/>
            <w:gridSpan w:val="5"/>
            <w:tcBorders>
              <w:top w:val="single" w:sz="4" w:space="0" w:color="auto"/>
              <w:left w:val="nil"/>
              <w:bottom w:val="single" w:sz="4" w:space="0" w:color="auto"/>
            </w:tcBorders>
            <w:vAlign w:val="center"/>
          </w:tcPr>
          <w:p w14:paraId="7E6F1261" w14:textId="77777777" w:rsidR="006B2092" w:rsidRDefault="006B2092">
            <w:pPr>
              <w:pStyle w:val="Heading4"/>
              <w:rPr>
                <w:i w:val="0"/>
                <w:iCs w:val="0"/>
              </w:rPr>
            </w:pPr>
            <w:r>
              <w:rPr>
                <w:i w:val="0"/>
                <w:iCs w:val="0"/>
              </w:rPr>
              <w:t>92A Yorktown Road Sandhurst Berkshire</w:t>
            </w:r>
          </w:p>
        </w:tc>
      </w:tr>
      <w:tr w:rsidR="006B2092" w14:paraId="1058D6D0" w14:textId="77777777">
        <w:tblPrEx>
          <w:jc w:val="center"/>
          <w:tblBorders>
            <w:top w:val="single" w:sz="12" w:space="0" w:color="auto"/>
            <w:left w:val="single" w:sz="12" w:space="0" w:color="auto"/>
            <w:bottom w:val="single" w:sz="12" w:space="0" w:color="auto"/>
            <w:right w:val="single" w:sz="12" w:space="0" w:color="auto"/>
          </w:tblBorders>
        </w:tblPrEx>
        <w:trPr>
          <w:gridAfter w:val="2"/>
          <w:wAfter w:w="137" w:type="dxa"/>
          <w:trHeight w:val="1395"/>
          <w:jc w:val="center"/>
        </w:trPr>
        <w:tc>
          <w:tcPr>
            <w:tcW w:w="1050" w:type="dxa"/>
            <w:tcBorders>
              <w:top w:val="single" w:sz="4" w:space="0" w:color="auto"/>
              <w:bottom w:val="single" w:sz="12" w:space="0" w:color="auto"/>
              <w:right w:val="nil"/>
            </w:tcBorders>
          </w:tcPr>
          <w:p w14:paraId="3E66A2A0" w14:textId="77777777" w:rsidR="006B2092" w:rsidRDefault="006B2092">
            <w:pPr>
              <w:spacing w:before="80" w:after="80"/>
              <w:rPr>
                <w:rFonts w:ascii="Arial" w:hAnsi="Arial" w:cs="Arial"/>
                <w:b/>
                <w:bCs/>
                <w:sz w:val="18"/>
                <w:szCs w:val="18"/>
              </w:rPr>
            </w:pPr>
            <w:r>
              <w:rPr>
                <w:rFonts w:ascii="Arial" w:hAnsi="Arial" w:cs="Arial"/>
                <w:b/>
                <w:bCs/>
                <w:sz w:val="18"/>
                <w:szCs w:val="18"/>
              </w:rPr>
              <w:t>Officer Notes:</w:t>
            </w:r>
          </w:p>
        </w:tc>
        <w:tc>
          <w:tcPr>
            <w:tcW w:w="9836" w:type="dxa"/>
            <w:gridSpan w:val="5"/>
            <w:tcBorders>
              <w:top w:val="single" w:sz="4" w:space="0" w:color="auto"/>
              <w:left w:val="nil"/>
              <w:bottom w:val="single" w:sz="12" w:space="0" w:color="auto"/>
            </w:tcBorders>
          </w:tcPr>
          <w:p w14:paraId="0279A919" w14:textId="4CC2BD73" w:rsidR="006B2092" w:rsidRDefault="0048322A">
            <w:pPr>
              <w:pStyle w:val="Header"/>
              <w:tabs>
                <w:tab w:val="clear" w:pos="4153"/>
                <w:tab w:val="clear" w:pos="8306"/>
              </w:tabs>
              <w:spacing w:before="120"/>
              <w:rPr>
                <w:rFonts w:ascii="Comic Sans MS" w:hAnsi="Comic Sans MS" w:cs="Comic Sans MS"/>
              </w:rPr>
            </w:pPr>
            <w:r>
              <w:rPr>
                <w:rFonts w:ascii="Comic Sans MS" w:hAnsi="Comic Sans MS" w:cs="Comic Sans MS"/>
              </w:rPr>
              <w:t>No pre-application enquiry submitted.</w:t>
            </w:r>
          </w:p>
        </w:tc>
      </w:tr>
    </w:tbl>
    <w:p w14:paraId="3B359BEB" w14:textId="77777777" w:rsidR="006B2092" w:rsidRDefault="006B2092">
      <w:pPr>
        <w:spacing w:line="240" w:lineRule="atLeast"/>
        <w:jc w:val="both"/>
        <w:rPr>
          <w:rFonts w:ascii="Arial" w:hAnsi="Arial" w:cs="Arial"/>
          <w:sz w:val="22"/>
          <w:szCs w:val="22"/>
        </w:rPr>
      </w:pPr>
    </w:p>
    <w:p w14:paraId="12AB5340" w14:textId="77777777" w:rsidR="006B2092" w:rsidRDefault="006B2092">
      <w:pPr>
        <w:jc w:val="both"/>
        <w:rPr>
          <w:rFonts w:ascii="Arial" w:hAnsi="Arial" w:cs="Arial"/>
          <w:sz w:val="22"/>
          <w:szCs w:val="22"/>
        </w:rPr>
      </w:pPr>
      <w:r>
        <w:rPr>
          <w:rFonts w:ascii="Arial" w:hAnsi="Arial" w:cs="Arial"/>
          <w:sz w:val="22"/>
          <w:szCs w:val="22"/>
        </w:rPr>
        <w:t xml:space="preserve">I notify you of the above planning application for your </w:t>
      </w:r>
      <w:proofErr w:type="gramStart"/>
      <w:r>
        <w:rPr>
          <w:rFonts w:ascii="Arial" w:hAnsi="Arial" w:cs="Arial"/>
          <w:sz w:val="22"/>
          <w:szCs w:val="22"/>
        </w:rPr>
        <w:t>consultation, and</w:t>
      </w:r>
      <w:proofErr w:type="gramEnd"/>
      <w:r>
        <w:rPr>
          <w:rFonts w:ascii="Arial" w:hAnsi="Arial" w:cs="Arial"/>
          <w:sz w:val="22"/>
          <w:szCs w:val="22"/>
        </w:rPr>
        <w:t xml:space="preserve"> would be grateful to receive any comments you may wish to make, in writing, by </w:t>
      </w:r>
      <w:r>
        <w:rPr>
          <w:rFonts w:ascii="Arial" w:hAnsi="Arial" w:cs="Arial"/>
          <w:b/>
          <w:bCs/>
          <w:sz w:val="22"/>
          <w:szCs w:val="22"/>
        </w:rPr>
        <w:t xml:space="preserve">8 December 2020. </w:t>
      </w:r>
      <w:r>
        <w:rPr>
          <w:rFonts w:ascii="Arial" w:hAnsi="Arial" w:cs="Arial"/>
          <w:b/>
          <w:bCs/>
          <w:sz w:val="22"/>
          <w:szCs w:val="22"/>
          <w:u w:val="single"/>
        </w:rPr>
        <w:t>Should no response be received by this date it will be taken you have no comments to make.</w:t>
      </w:r>
    </w:p>
    <w:p w14:paraId="51A57FA9" w14:textId="77777777" w:rsidR="006B2092" w:rsidRDefault="006B2092">
      <w:pPr>
        <w:jc w:val="both"/>
        <w:rPr>
          <w:rFonts w:ascii="Arial" w:hAnsi="Arial" w:cs="Arial"/>
          <w:sz w:val="22"/>
          <w:szCs w:val="22"/>
        </w:rPr>
      </w:pPr>
    </w:p>
    <w:p w14:paraId="551F6630" w14:textId="77777777" w:rsidR="006B2092" w:rsidRDefault="00CA5DA6">
      <w:pPr>
        <w:pStyle w:val="BodyText"/>
        <w:spacing w:line="240" w:lineRule="auto"/>
        <w:rPr>
          <w:rFonts w:ascii="Arial (W1)" w:hAnsi="Arial (W1)" w:cs="Arial (W1)"/>
        </w:rPr>
      </w:pPr>
      <w:r>
        <w:rPr>
          <w:rFonts w:ascii="Arial (W1)" w:hAnsi="Arial (W1)" w:cs="Arial (W1)"/>
        </w:rPr>
        <w:t>Please note that unless this consultation relates to a pre-app our response may be put on-line.</w:t>
      </w:r>
    </w:p>
    <w:p w14:paraId="30A01994" w14:textId="77777777" w:rsidR="006B2092" w:rsidRDefault="006B2092">
      <w:pPr>
        <w:jc w:val="both"/>
        <w:rPr>
          <w:rFonts w:ascii="Arial" w:hAnsi="Arial" w:cs="Arial"/>
          <w:sz w:val="22"/>
          <w:szCs w:val="22"/>
        </w:rPr>
      </w:pPr>
    </w:p>
    <w:p w14:paraId="090209F4" w14:textId="77777777" w:rsidR="006B2092" w:rsidRDefault="006B2092">
      <w:pPr>
        <w:jc w:val="both"/>
        <w:rPr>
          <w:rFonts w:ascii="Arial" w:hAnsi="Arial" w:cs="Arial"/>
          <w:sz w:val="22"/>
          <w:szCs w:val="22"/>
        </w:rPr>
      </w:pPr>
      <w:r>
        <w:rPr>
          <w:rFonts w:ascii="Arial" w:hAnsi="Arial" w:cs="Arial"/>
          <w:sz w:val="22"/>
          <w:szCs w:val="22"/>
        </w:rPr>
        <w:t>Please do not hesitate to contact me should you have any questions.</w:t>
      </w:r>
    </w:p>
    <w:p w14:paraId="2E44782F" w14:textId="77777777" w:rsidR="006B2092" w:rsidRDefault="006B2092">
      <w:pPr>
        <w:jc w:val="both"/>
        <w:rPr>
          <w:rFonts w:ascii="Arial" w:hAnsi="Arial" w:cs="Arial"/>
          <w:sz w:val="22"/>
          <w:szCs w:val="22"/>
        </w:rPr>
      </w:pPr>
    </w:p>
    <w:p w14:paraId="13C372CD" w14:textId="77777777" w:rsidR="006B2092" w:rsidRDefault="006B2092">
      <w:pPr>
        <w:jc w:val="both"/>
        <w:rPr>
          <w:rFonts w:ascii="Arial" w:hAnsi="Arial" w:cs="Arial"/>
          <w:sz w:val="22"/>
          <w:szCs w:val="22"/>
        </w:rPr>
      </w:pPr>
      <w:r>
        <w:rPr>
          <w:rFonts w:ascii="Arial" w:hAnsi="Arial" w:cs="Arial"/>
          <w:sz w:val="22"/>
          <w:szCs w:val="22"/>
        </w:rPr>
        <w:t>Case Officer</w:t>
      </w:r>
      <w:r>
        <w:rPr>
          <w:rFonts w:ascii="Arial" w:hAnsi="Arial" w:cs="Arial"/>
          <w:i/>
          <w:iCs/>
          <w:sz w:val="22"/>
          <w:szCs w:val="22"/>
        </w:rPr>
        <w:t xml:space="preserve"> Trevor Yerworth</w:t>
      </w:r>
    </w:p>
    <w:p w14:paraId="4C17E023" w14:textId="77777777" w:rsidR="006B2092" w:rsidRDefault="006B2092">
      <w:pPr>
        <w:jc w:val="both"/>
        <w:rPr>
          <w:rFonts w:ascii="Arial" w:hAnsi="Arial" w:cs="Arial"/>
          <w:sz w:val="22"/>
          <w:szCs w:val="22"/>
        </w:rPr>
      </w:pPr>
    </w:p>
    <w:p w14:paraId="4AFE8B5C" w14:textId="77777777" w:rsidR="006B2092" w:rsidRDefault="006B2092">
      <w:pPr>
        <w:pStyle w:val="Heading2"/>
      </w:pPr>
      <w:r>
        <w:t>For Head of Planning</w:t>
      </w:r>
    </w:p>
    <w:p w14:paraId="223530CD" w14:textId="77777777" w:rsidR="006B2092" w:rsidRDefault="006B2092">
      <w:pPr>
        <w:pBdr>
          <w:bottom w:val="single" w:sz="6" w:space="1" w:color="auto"/>
        </w:pBdr>
        <w:adjustRightInd w:val="0"/>
        <w:jc w:val="center"/>
        <w:rPr>
          <w:rFonts w:ascii="Arial" w:hAnsi="Arial" w:cs="Arial"/>
          <w:b/>
          <w:bCs/>
        </w:rPr>
      </w:pPr>
    </w:p>
    <w:p w14:paraId="6D9DDCEC" w14:textId="77777777" w:rsidR="006B2092" w:rsidRDefault="006B2092">
      <w:pPr>
        <w:adjustRightInd w:val="0"/>
        <w:jc w:val="center"/>
        <w:rPr>
          <w:rFonts w:ascii="Arial" w:hAnsi="Arial" w:cs="Arial"/>
          <w:b/>
          <w:bCs/>
        </w:rPr>
      </w:pPr>
    </w:p>
    <w:p w14:paraId="5C312944" w14:textId="77777777" w:rsidR="006B2092" w:rsidRDefault="006B2092">
      <w:pPr>
        <w:adjustRightInd w:val="0"/>
        <w:jc w:val="center"/>
        <w:rPr>
          <w:rFonts w:ascii="Arial" w:hAnsi="Arial" w:cs="Arial"/>
          <w:b/>
          <w:bCs/>
        </w:rPr>
      </w:pPr>
      <w:r>
        <w:rPr>
          <w:rFonts w:ascii="Arial" w:hAnsi="Arial" w:cs="Arial"/>
          <w:b/>
          <w:bCs/>
        </w:rPr>
        <w:t>VIEW this application online (click on link below)</w:t>
      </w:r>
    </w:p>
    <w:p w14:paraId="65090652" w14:textId="77777777" w:rsidR="006B2092" w:rsidRDefault="006B2092">
      <w:pPr>
        <w:adjustRightInd w:val="0"/>
        <w:jc w:val="center"/>
        <w:rPr>
          <w:rFonts w:ascii="Arial" w:hAnsi="Arial" w:cs="Arial"/>
        </w:rPr>
      </w:pPr>
      <w:r>
        <w:rPr>
          <w:rFonts w:ascii="Arial" w:hAnsi="Arial" w:cs="Arial"/>
        </w:rPr>
        <w:t>Enter the application number - 20/00860/OUT</w:t>
      </w:r>
    </w:p>
    <w:p w14:paraId="264451DB" w14:textId="77777777" w:rsidR="006B2092" w:rsidRDefault="009E2C02">
      <w:pPr>
        <w:adjustRightInd w:val="0"/>
        <w:jc w:val="center"/>
        <w:rPr>
          <w:rFonts w:ascii="Arial" w:hAnsi="Arial" w:cs="Arial"/>
        </w:rPr>
      </w:pPr>
      <w:hyperlink r:id="rId11" w:history="1">
        <w:r w:rsidR="006B2092">
          <w:rPr>
            <w:rStyle w:val="Hyperlink"/>
            <w:rFonts w:ascii="Arial" w:hAnsi="Arial" w:cs="Arial"/>
          </w:rPr>
          <w:t>http://www.bracknell-forest.gov.uk/viewplanningapplications</w:t>
        </w:r>
      </w:hyperlink>
    </w:p>
    <w:p w14:paraId="2604FEC6" w14:textId="77777777" w:rsidR="006B2092" w:rsidRDefault="006B2092">
      <w:pPr>
        <w:adjustRightInd w:val="0"/>
        <w:jc w:val="center"/>
        <w:rPr>
          <w:rFonts w:ascii="Arial" w:hAnsi="Arial" w:cs="Arial"/>
        </w:rPr>
      </w:pPr>
    </w:p>
    <w:p w14:paraId="28AEBEF5" w14:textId="77777777" w:rsidR="006B2092" w:rsidRDefault="006B2092">
      <w:pPr>
        <w:pStyle w:val="BodyText2"/>
      </w:pPr>
      <w:r>
        <w:t xml:space="preserve">(Please note that it can take 1 working day from the validation date [namely 28.10.2020] before this application and drawings are available </w:t>
      </w:r>
      <w:proofErr w:type="gramStart"/>
      <w:r>
        <w:t>on line</w:t>
      </w:r>
      <w:proofErr w:type="gramEnd"/>
      <w:r>
        <w:t xml:space="preserve">). </w:t>
      </w:r>
    </w:p>
    <w:p w14:paraId="52E08C5A" w14:textId="77777777" w:rsidR="006B2092" w:rsidRDefault="006B2092">
      <w:pPr>
        <w:pBdr>
          <w:bottom w:val="single" w:sz="6" w:space="1" w:color="auto"/>
        </w:pBdr>
        <w:adjustRightInd w:val="0"/>
        <w:rPr>
          <w:rFonts w:ascii="Tahoma" w:hAnsi="Tahoma" w:cs="Tahoma"/>
          <w:sz w:val="16"/>
          <w:szCs w:val="16"/>
        </w:rPr>
      </w:pPr>
    </w:p>
    <w:p w14:paraId="0B754040" w14:textId="77777777" w:rsidR="006B2092" w:rsidRDefault="006B2092">
      <w:pPr>
        <w:adjustRightInd w:val="0"/>
        <w:rPr>
          <w:rFonts w:ascii="Tahoma" w:hAnsi="Tahoma" w:cs="Tahoma"/>
        </w:rPr>
      </w:pPr>
    </w:p>
    <w:p w14:paraId="2C2E8BC7" w14:textId="77777777" w:rsidR="006B2092" w:rsidRDefault="006B2092">
      <w:pPr>
        <w:adjustRightInd w:val="0"/>
        <w:rPr>
          <w:rFonts w:ascii="Arial" w:hAnsi="Arial" w:cs="Arial"/>
          <w:sz w:val="16"/>
          <w:szCs w:val="16"/>
        </w:rPr>
      </w:pPr>
      <w:r>
        <w:rPr>
          <w:rFonts w:ascii="Arial" w:hAnsi="Arial" w:cs="Arial"/>
          <w:sz w:val="16"/>
          <w:szCs w:val="16"/>
        </w:rPr>
        <w:t>NOTE:</w:t>
      </w:r>
    </w:p>
    <w:p w14:paraId="10B5116F" w14:textId="77777777" w:rsidR="006B2092" w:rsidRDefault="006B2092">
      <w:pPr>
        <w:pStyle w:val="BodyTextIndent3"/>
        <w:tabs>
          <w:tab w:val="clear" w:pos="567"/>
          <w:tab w:val="left" w:pos="284"/>
        </w:tabs>
        <w:spacing w:after="40"/>
        <w:ind w:left="284" w:hanging="284"/>
        <w:rPr>
          <w:rFonts w:ascii="Arial" w:hAnsi="Arial" w:cs="Arial"/>
          <w:sz w:val="16"/>
          <w:szCs w:val="16"/>
        </w:rPr>
      </w:pPr>
      <w:r>
        <w:rPr>
          <w:rFonts w:ascii="Arial" w:hAnsi="Arial" w:cs="Arial"/>
          <w:sz w:val="16"/>
          <w:szCs w:val="16"/>
        </w:rPr>
        <w:t>1.</w:t>
      </w:r>
      <w:r>
        <w:rPr>
          <w:rFonts w:ascii="Arial" w:hAnsi="Arial" w:cs="Arial"/>
          <w:sz w:val="16"/>
          <w:szCs w:val="16"/>
        </w:rPr>
        <w:tab/>
        <w:t>Internal Consultee’s wishing to check plan measurements or sensitive documentation should use the tools available via the internal IDOX software.</w:t>
      </w:r>
    </w:p>
    <w:p w14:paraId="0D6A9563" w14:textId="77777777" w:rsidR="006B2092" w:rsidRDefault="006B2092">
      <w:pPr>
        <w:tabs>
          <w:tab w:val="left" w:pos="284"/>
        </w:tabs>
        <w:adjustRightInd w:val="0"/>
        <w:spacing w:after="40"/>
        <w:rPr>
          <w:rFonts w:ascii="Arial" w:hAnsi="Arial" w:cs="Arial"/>
          <w:sz w:val="16"/>
          <w:szCs w:val="16"/>
        </w:rPr>
      </w:pPr>
      <w:r>
        <w:rPr>
          <w:rFonts w:ascii="Arial" w:hAnsi="Arial" w:cs="Arial"/>
          <w:sz w:val="16"/>
          <w:szCs w:val="16"/>
        </w:rPr>
        <w:t>2.</w:t>
      </w:r>
      <w:r>
        <w:rPr>
          <w:rFonts w:ascii="Arial" w:hAnsi="Arial" w:cs="Arial"/>
          <w:sz w:val="16"/>
          <w:szCs w:val="16"/>
        </w:rPr>
        <w:tab/>
        <w:t>Please note should you require a hard copy of a plan you have two choices:</w:t>
      </w:r>
    </w:p>
    <w:p w14:paraId="4CF1A412" w14:textId="77777777" w:rsidR="006B2092" w:rsidRDefault="006B2092">
      <w:pPr>
        <w:tabs>
          <w:tab w:val="left" w:pos="567"/>
        </w:tabs>
        <w:adjustRightInd w:val="0"/>
        <w:spacing w:after="40"/>
        <w:ind w:left="567" w:hanging="283"/>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View/Photocopy the drawings from the “Registered Copy” held at reception ground floor TS South (Plan copier - second floor TS South)</w:t>
      </w:r>
    </w:p>
    <w:p w14:paraId="6D302DB6" w14:textId="77777777" w:rsidR="006B2092" w:rsidRDefault="006B2092">
      <w:pPr>
        <w:adjustRightInd w:val="0"/>
        <w:spacing w:after="40"/>
        <w:ind w:left="567" w:hanging="283"/>
        <w:rPr>
          <w:rFonts w:ascii="Arial" w:hAnsi="Arial" w:cs="Arial"/>
          <w:sz w:val="16"/>
          <w:szCs w:val="16"/>
        </w:rPr>
      </w:pPr>
      <w:r>
        <w:rPr>
          <w:rFonts w:ascii="Arial" w:hAnsi="Arial" w:cs="Arial"/>
          <w:sz w:val="16"/>
          <w:szCs w:val="16"/>
        </w:rPr>
        <w:t>ii)</w:t>
      </w:r>
      <w:r>
        <w:rPr>
          <w:rFonts w:ascii="Arial" w:hAnsi="Arial" w:cs="Arial"/>
          <w:sz w:val="16"/>
          <w:szCs w:val="16"/>
        </w:rPr>
        <w:tab/>
        <w:t>View/Print the drawings directly from IDOX to the plan printer “</w:t>
      </w:r>
      <w:proofErr w:type="spellStart"/>
      <w:r>
        <w:rPr>
          <w:rFonts w:ascii="Arial" w:hAnsi="Arial" w:cs="Arial"/>
          <w:sz w:val="16"/>
          <w:szCs w:val="16"/>
        </w:rPr>
        <w:t>IP_The</w:t>
      </w:r>
      <w:proofErr w:type="spellEnd"/>
      <w:r>
        <w:rPr>
          <w:rFonts w:ascii="Arial" w:hAnsi="Arial" w:cs="Arial"/>
          <w:sz w:val="16"/>
          <w:szCs w:val="16"/>
        </w:rPr>
        <w:t xml:space="preserve"> beast” located on the ground floor TS South</w:t>
      </w:r>
    </w:p>
    <w:p w14:paraId="6C56A3E3" w14:textId="77777777" w:rsidR="006B2092" w:rsidRDefault="006B2092">
      <w:pPr>
        <w:tabs>
          <w:tab w:val="left" w:pos="284"/>
        </w:tabs>
        <w:adjustRightInd w:val="0"/>
        <w:spacing w:after="40"/>
        <w:rPr>
          <w:rFonts w:ascii="Arial" w:hAnsi="Arial" w:cs="Arial"/>
          <w:sz w:val="16"/>
          <w:szCs w:val="16"/>
        </w:rPr>
      </w:pPr>
      <w:r>
        <w:rPr>
          <w:rFonts w:ascii="Arial" w:hAnsi="Arial" w:cs="Arial"/>
          <w:sz w:val="16"/>
          <w:szCs w:val="16"/>
        </w:rPr>
        <w:t xml:space="preserve">3. </w:t>
      </w:r>
      <w:r>
        <w:rPr>
          <w:rFonts w:ascii="Arial" w:hAnsi="Arial" w:cs="Arial"/>
          <w:sz w:val="16"/>
          <w:szCs w:val="16"/>
        </w:rPr>
        <w:tab/>
        <w:t>Two new viewing stations are now also available on the ground floor TS South</w:t>
      </w:r>
    </w:p>
    <w:p w14:paraId="52DA3692" w14:textId="77777777" w:rsidR="00FD3454" w:rsidRDefault="006B2092">
      <w:pPr>
        <w:adjustRightInd w:val="0"/>
        <w:rPr>
          <w:rFonts w:ascii="Arial" w:hAnsi="Arial" w:cs="Arial"/>
          <w:sz w:val="16"/>
          <w:szCs w:val="16"/>
        </w:rPr>
      </w:pPr>
      <w:r>
        <w:rPr>
          <w:rFonts w:ascii="Arial" w:hAnsi="Arial" w:cs="Arial"/>
          <w:sz w:val="16"/>
          <w:szCs w:val="16"/>
        </w:rPr>
        <w:t>Finally, as an internal consultee you should have access to the internal IDOX Server and relevant printer, if not you need to notify the ICT Helpdesk.</w:t>
      </w:r>
    </w:p>
    <w:p w14:paraId="186C69AA" w14:textId="77777777" w:rsidR="006B2092" w:rsidRDefault="00FD3454" w:rsidP="00FD3454">
      <w:r>
        <w:br w:type="page"/>
      </w:r>
    </w:p>
    <w:tbl>
      <w:tblPr>
        <w:tblW w:w="11160" w:type="dxa"/>
        <w:tblInd w:w="-127" w:type="dxa"/>
        <w:tblLayout w:type="fixed"/>
        <w:tblLook w:val="0000" w:firstRow="0" w:lastRow="0" w:firstColumn="0" w:lastColumn="0" w:noHBand="0" w:noVBand="0"/>
      </w:tblPr>
      <w:tblGrid>
        <w:gridCol w:w="93"/>
        <w:gridCol w:w="18"/>
        <w:gridCol w:w="1155"/>
        <w:gridCol w:w="118"/>
        <w:gridCol w:w="1583"/>
        <w:gridCol w:w="1394"/>
        <w:gridCol w:w="2552"/>
        <w:gridCol w:w="992"/>
        <w:gridCol w:w="1261"/>
        <w:gridCol w:w="1870"/>
        <w:gridCol w:w="114"/>
        <w:gridCol w:w="10"/>
      </w:tblGrid>
      <w:tr w:rsidR="006B2092" w14:paraId="717835B6" w14:textId="77777777">
        <w:trPr>
          <w:gridBefore w:val="1"/>
          <w:gridAfter w:val="1"/>
          <w:wBefore w:w="93" w:type="dxa"/>
          <w:wAfter w:w="10" w:type="dxa"/>
          <w:cantSplit/>
          <w:trHeight w:val="1836"/>
        </w:trPr>
        <w:tc>
          <w:tcPr>
            <w:tcW w:w="9073" w:type="dxa"/>
            <w:gridSpan w:val="8"/>
            <w:tcBorders>
              <w:top w:val="nil"/>
              <w:left w:val="nil"/>
              <w:bottom w:val="nil"/>
              <w:right w:val="nil"/>
            </w:tcBorders>
          </w:tcPr>
          <w:p w14:paraId="121E6472" w14:textId="77777777" w:rsidR="006B2092" w:rsidRDefault="006B2092">
            <w:pPr>
              <w:pStyle w:val="Heading1"/>
            </w:pPr>
            <w:r>
              <w:lastRenderedPageBreak/>
              <w:br w:type="page"/>
              <w:t>PLACE PLANNING AND REGENERATION</w:t>
            </w:r>
          </w:p>
          <w:p w14:paraId="33001A0B" w14:textId="77777777" w:rsidR="006B2092" w:rsidRDefault="006B2092">
            <w:pPr>
              <w:pStyle w:val="Heading2"/>
            </w:pPr>
          </w:p>
          <w:p w14:paraId="25F3ED6B" w14:textId="77777777" w:rsidR="006B2092" w:rsidRDefault="006B2092">
            <w:pPr>
              <w:pStyle w:val="Heading3"/>
            </w:pPr>
            <w:r>
              <w:t>Memorandum:</w:t>
            </w:r>
          </w:p>
          <w:p w14:paraId="19E7D80C" w14:textId="77777777" w:rsidR="006B2092" w:rsidRDefault="006B2092">
            <w:pPr>
              <w:pStyle w:val="Heading3"/>
            </w:pPr>
            <w:r>
              <w:t>Consultee Response (Planning)</w:t>
            </w:r>
          </w:p>
          <w:p w14:paraId="6E580458" w14:textId="77777777" w:rsidR="006B2092" w:rsidRDefault="006B2092">
            <w:pPr>
              <w:rPr>
                <w:rFonts w:ascii="Arial" w:hAnsi="Arial" w:cs="Arial"/>
              </w:rPr>
            </w:pPr>
            <w:r>
              <w:rPr>
                <w:rFonts w:ascii="Arial" w:hAnsi="Arial" w:cs="Arial"/>
              </w:rPr>
              <w:t>NOTE: Consultee to complete yellow boxes and return this memo via email to the Case Officer</w:t>
            </w:r>
          </w:p>
        </w:tc>
        <w:tc>
          <w:tcPr>
            <w:tcW w:w="1984" w:type="dxa"/>
            <w:gridSpan w:val="2"/>
            <w:tcBorders>
              <w:top w:val="nil"/>
              <w:left w:val="nil"/>
              <w:bottom w:val="nil"/>
              <w:right w:val="nil"/>
            </w:tcBorders>
          </w:tcPr>
          <w:p w14:paraId="41ABA8D1" w14:textId="0991578D" w:rsidR="006B2092" w:rsidRDefault="00FF06E0">
            <w:pPr>
              <w:jc w:val="right"/>
            </w:pPr>
            <w:r>
              <w:rPr>
                <w:noProof/>
              </w:rPr>
              <w:drawing>
                <wp:inline distT="0" distB="0" distL="0" distR="0" wp14:anchorId="19C8A1EE" wp14:editId="7A577E33">
                  <wp:extent cx="10350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838200"/>
                          </a:xfrm>
                          <a:prstGeom prst="rect">
                            <a:avLst/>
                          </a:prstGeom>
                          <a:noFill/>
                          <a:ln>
                            <a:noFill/>
                          </a:ln>
                        </pic:spPr>
                      </pic:pic>
                    </a:graphicData>
                  </a:graphic>
                </wp:inline>
              </w:drawing>
            </w:r>
          </w:p>
        </w:tc>
      </w:tr>
      <w:tr w:rsidR="006B2092" w14:paraId="7D429D06" w14:textId="77777777">
        <w:tblPrEx>
          <w:jc w:val="center"/>
          <w:tblInd w:w="0" w:type="dxa"/>
          <w:tblBorders>
            <w:top w:val="single" w:sz="12" w:space="0" w:color="auto"/>
            <w:left w:val="single" w:sz="12" w:space="0" w:color="auto"/>
            <w:bottom w:val="single" w:sz="12" w:space="0" w:color="auto"/>
            <w:right w:val="single" w:sz="12" w:space="0" w:color="auto"/>
          </w:tblBorders>
        </w:tblPrEx>
        <w:trPr>
          <w:gridBefore w:val="2"/>
          <w:wBefore w:w="111" w:type="dxa"/>
          <w:cantSplit/>
          <w:trHeight w:val="445"/>
          <w:jc w:val="center"/>
        </w:trPr>
        <w:tc>
          <w:tcPr>
            <w:tcW w:w="1273" w:type="dxa"/>
            <w:gridSpan w:val="2"/>
            <w:tcBorders>
              <w:top w:val="single" w:sz="12" w:space="0" w:color="auto"/>
              <w:bottom w:val="single" w:sz="12" w:space="0" w:color="auto"/>
              <w:right w:val="nil"/>
            </w:tcBorders>
          </w:tcPr>
          <w:p w14:paraId="2BB17484" w14:textId="77777777" w:rsidR="006B2092" w:rsidRDefault="006B2092">
            <w:pPr>
              <w:spacing w:before="120" w:after="120"/>
              <w:rPr>
                <w:rFonts w:ascii="Arial" w:hAnsi="Arial" w:cs="Arial"/>
                <w:b/>
                <w:bCs/>
                <w:sz w:val="22"/>
                <w:szCs w:val="22"/>
              </w:rPr>
            </w:pPr>
            <w:r>
              <w:rPr>
                <w:rFonts w:ascii="Arial" w:hAnsi="Arial" w:cs="Arial"/>
                <w:b/>
                <w:bCs/>
                <w:sz w:val="22"/>
                <w:szCs w:val="22"/>
              </w:rPr>
              <w:t>TO:</w:t>
            </w:r>
          </w:p>
        </w:tc>
        <w:tc>
          <w:tcPr>
            <w:tcW w:w="2977" w:type="dxa"/>
            <w:gridSpan w:val="2"/>
            <w:tcBorders>
              <w:top w:val="single" w:sz="12" w:space="0" w:color="auto"/>
              <w:left w:val="nil"/>
              <w:bottom w:val="single" w:sz="12" w:space="0" w:color="auto"/>
              <w:right w:val="nil"/>
            </w:tcBorders>
          </w:tcPr>
          <w:p w14:paraId="51CFA6EC" w14:textId="77777777" w:rsidR="006B2092" w:rsidRDefault="006B2092">
            <w:pPr>
              <w:spacing w:before="120"/>
              <w:rPr>
                <w:rFonts w:ascii="Arial" w:hAnsi="Arial" w:cs="Arial"/>
                <w:sz w:val="22"/>
                <w:szCs w:val="22"/>
              </w:rPr>
            </w:pPr>
            <w:r>
              <w:rPr>
                <w:rFonts w:ascii="Arial" w:hAnsi="Arial" w:cs="Arial"/>
                <w:sz w:val="22"/>
                <w:szCs w:val="22"/>
              </w:rPr>
              <w:t>Trevor Yerworth</w:t>
            </w:r>
          </w:p>
        </w:tc>
        <w:tc>
          <w:tcPr>
            <w:tcW w:w="2552" w:type="dxa"/>
            <w:tcBorders>
              <w:top w:val="single" w:sz="12" w:space="0" w:color="auto"/>
              <w:left w:val="nil"/>
              <w:bottom w:val="single" w:sz="12" w:space="0" w:color="auto"/>
              <w:right w:val="nil"/>
            </w:tcBorders>
          </w:tcPr>
          <w:p w14:paraId="264383B4" w14:textId="77777777" w:rsidR="006B2092" w:rsidRDefault="006B2092">
            <w:pPr>
              <w:spacing w:before="120"/>
              <w:rPr>
                <w:rFonts w:ascii="Arial" w:hAnsi="Arial" w:cs="Arial"/>
                <w:sz w:val="22"/>
                <w:szCs w:val="22"/>
              </w:rPr>
            </w:pPr>
            <w:r>
              <w:rPr>
                <w:rFonts w:ascii="Arial" w:hAnsi="Arial" w:cs="Arial"/>
                <w:sz w:val="22"/>
                <w:szCs w:val="22"/>
              </w:rPr>
              <w:t xml:space="preserve">Direct Line: </w:t>
            </w:r>
            <w:r>
              <w:rPr>
                <w:rFonts w:ascii="Arial" w:hAnsi="Arial" w:cs="Arial"/>
              </w:rPr>
              <w:t>01344 351182</w:t>
            </w:r>
          </w:p>
        </w:tc>
        <w:tc>
          <w:tcPr>
            <w:tcW w:w="4247" w:type="dxa"/>
            <w:gridSpan w:val="5"/>
            <w:tcBorders>
              <w:top w:val="single" w:sz="12" w:space="0" w:color="auto"/>
              <w:left w:val="nil"/>
              <w:bottom w:val="single" w:sz="12" w:space="0" w:color="auto"/>
            </w:tcBorders>
          </w:tcPr>
          <w:p w14:paraId="07204D50" w14:textId="77777777" w:rsidR="006B2092" w:rsidRDefault="006B2092">
            <w:pPr>
              <w:spacing w:before="120"/>
              <w:rPr>
                <w:rFonts w:ascii="Arial" w:hAnsi="Arial" w:cs="Arial"/>
                <w:sz w:val="22"/>
                <w:szCs w:val="22"/>
              </w:rPr>
            </w:pPr>
            <w:r>
              <w:rPr>
                <w:rFonts w:ascii="Arial" w:hAnsi="Arial" w:cs="Arial"/>
                <w:sz w:val="22"/>
                <w:szCs w:val="22"/>
              </w:rPr>
              <w:t>Planning Development Control</w:t>
            </w:r>
          </w:p>
        </w:tc>
      </w:tr>
      <w:tr w:rsidR="006B2092" w14:paraId="453D56A1" w14:textId="77777777">
        <w:tblPrEx>
          <w:jc w:val="center"/>
          <w:tblInd w:w="0" w:type="dxa"/>
          <w:tblBorders>
            <w:top w:val="single" w:sz="12" w:space="0" w:color="auto"/>
            <w:left w:val="single" w:sz="12" w:space="0" w:color="auto"/>
            <w:bottom w:val="single" w:sz="12" w:space="0" w:color="auto"/>
            <w:right w:val="single" w:sz="12" w:space="0" w:color="auto"/>
          </w:tblBorders>
        </w:tblPrEx>
        <w:trPr>
          <w:gridBefore w:val="2"/>
          <w:wBefore w:w="111" w:type="dxa"/>
          <w:cantSplit/>
          <w:trHeight w:val="248"/>
          <w:jc w:val="center"/>
        </w:trPr>
        <w:tc>
          <w:tcPr>
            <w:tcW w:w="1273" w:type="dxa"/>
            <w:gridSpan w:val="2"/>
            <w:tcBorders>
              <w:top w:val="single" w:sz="12" w:space="0" w:color="auto"/>
              <w:bottom w:val="nil"/>
              <w:right w:val="nil"/>
            </w:tcBorders>
          </w:tcPr>
          <w:p w14:paraId="7F8EDA66" w14:textId="77777777" w:rsidR="006B2092" w:rsidRDefault="006B2092">
            <w:pPr>
              <w:spacing w:before="120" w:after="120"/>
              <w:rPr>
                <w:rFonts w:ascii="Arial" w:hAnsi="Arial" w:cs="Arial"/>
                <w:b/>
                <w:bCs/>
                <w:sz w:val="22"/>
                <w:szCs w:val="22"/>
              </w:rPr>
            </w:pPr>
            <w:r>
              <w:rPr>
                <w:rFonts w:ascii="Arial" w:hAnsi="Arial" w:cs="Arial"/>
                <w:b/>
                <w:bCs/>
                <w:sz w:val="22"/>
                <w:szCs w:val="22"/>
              </w:rPr>
              <w:t>FROM:</w:t>
            </w:r>
          </w:p>
        </w:tc>
        <w:tc>
          <w:tcPr>
            <w:tcW w:w="5529" w:type="dxa"/>
            <w:gridSpan w:val="3"/>
            <w:tcBorders>
              <w:top w:val="single" w:sz="12" w:space="0" w:color="auto"/>
              <w:left w:val="nil"/>
              <w:bottom w:val="nil"/>
              <w:right w:val="nil"/>
            </w:tcBorders>
            <w:shd w:val="clear" w:color="auto" w:fill="FFFF99"/>
          </w:tcPr>
          <w:p w14:paraId="265D7890" w14:textId="57D71692" w:rsidR="006B2092" w:rsidRDefault="00FF06E0">
            <w:pPr>
              <w:spacing w:before="120" w:after="80"/>
              <w:ind w:left="-11"/>
              <w:rPr>
                <w:rFonts w:ascii="Arial" w:hAnsi="Arial" w:cs="Arial"/>
                <w:sz w:val="22"/>
                <w:szCs w:val="22"/>
              </w:rPr>
            </w:pPr>
            <w:r>
              <w:rPr>
                <w:rFonts w:ascii="Arial" w:hAnsi="Arial" w:cs="Arial"/>
                <w:sz w:val="22"/>
                <w:szCs w:val="22"/>
              </w:rPr>
              <w:t>Simon Cridland</w:t>
            </w:r>
          </w:p>
        </w:tc>
        <w:tc>
          <w:tcPr>
            <w:tcW w:w="992" w:type="dxa"/>
            <w:tcBorders>
              <w:top w:val="single" w:sz="12" w:space="0" w:color="auto"/>
              <w:left w:val="nil"/>
              <w:bottom w:val="nil"/>
              <w:right w:val="nil"/>
            </w:tcBorders>
          </w:tcPr>
          <w:p w14:paraId="6AE6E960" w14:textId="77777777" w:rsidR="006B2092" w:rsidRDefault="006B2092">
            <w:pPr>
              <w:spacing w:before="120" w:after="120"/>
              <w:rPr>
                <w:rFonts w:ascii="Arial" w:hAnsi="Arial" w:cs="Arial"/>
                <w:b/>
                <w:bCs/>
                <w:sz w:val="18"/>
                <w:szCs w:val="18"/>
              </w:rPr>
            </w:pPr>
            <w:r>
              <w:rPr>
                <w:rFonts w:ascii="Arial" w:hAnsi="Arial" w:cs="Arial"/>
                <w:b/>
                <w:bCs/>
                <w:sz w:val="18"/>
                <w:szCs w:val="18"/>
              </w:rPr>
              <w:t>Ext No.</w:t>
            </w:r>
          </w:p>
        </w:tc>
        <w:tc>
          <w:tcPr>
            <w:tcW w:w="3255" w:type="dxa"/>
            <w:gridSpan w:val="4"/>
            <w:tcBorders>
              <w:top w:val="single" w:sz="12" w:space="0" w:color="auto"/>
              <w:left w:val="nil"/>
              <w:bottom w:val="nil"/>
            </w:tcBorders>
            <w:shd w:val="clear" w:color="auto" w:fill="FFFF99"/>
          </w:tcPr>
          <w:p w14:paraId="37940980" w14:textId="38A84A22" w:rsidR="006B2092" w:rsidRDefault="00FF06E0">
            <w:pPr>
              <w:pStyle w:val="Heading4"/>
              <w:spacing w:before="120" w:after="120"/>
              <w:rPr>
                <w:i w:val="0"/>
                <w:iCs w:val="0"/>
              </w:rPr>
            </w:pPr>
            <w:r>
              <w:rPr>
                <w:i w:val="0"/>
                <w:iCs w:val="0"/>
              </w:rPr>
              <w:t>1186</w:t>
            </w:r>
          </w:p>
        </w:tc>
      </w:tr>
      <w:tr w:rsidR="006B2092" w14:paraId="046D1CA2" w14:textId="77777777">
        <w:tblPrEx>
          <w:jc w:val="center"/>
          <w:tblInd w:w="0" w:type="dxa"/>
          <w:tblBorders>
            <w:top w:val="single" w:sz="12" w:space="0" w:color="auto"/>
            <w:left w:val="single" w:sz="12" w:space="0" w:color="auto"/>
            <w:bottom w:val="single" w:sz="12" w:space="0" w:color="auto"/>
            <w:right w:val="single" w:sz="12" w:space="0" w:color="auto"/>
          </w:tblBorders>
        </w:tblPrEx>
        <w:trPr>
          <w:gridBefore w:val="2"/>
          <w:wBefore w:w="111" w:type="dxa"/>
          <w:cantSplit/>
          <w:trHeight w:val="901"/>
          <w:jc w:val="center"/>
        </w:trPr>
        <w:tc>
          <w:tcPr>
            <w:tcW w:w="1273" w:type="dxa"/>
            <w:gridSpan w:val="2"/>
            <w:tcBorders>
              <w:top w:val="nil"/>
              <w:bottom w:val="nil"/>
              <w:right w:val="nil"/>
            </w:tcBorders>
          </w:tcPr>
          <w:p w14:paraId="5D31443D" w14:textId="77777777" w:rsidR="006B2092" w:rsidRDefault="006B2092">
            <w:pPr>
              <w:spacing w:before="120" w:after="120"/>
              <w:rPr>
                <w:rFonts w:ascii="Arial" w:hAnsi="Arial" w:cs="Arial"/>
                <w:b/>
                <w:bCs/>
                <w:sz w:val="18"/>
                <w:szCs w:val="18"/>
              </w:rPr>
            </w:pPr>
            <w:r>
              <w:rPr>
                <w:rFonts w:ascii="Arial" w:hAnsi="Arial" w:cs="Arial"/>
                <w:b/>
                <w:bCs/>
                <w:sz w:val="18"/>
                <w:szCs w:val="18"/>
              </w:rPr>
              <w:t>Consultee:</w:t>
            </w:r>
          </w:p>
          <w:p w14:paraId="4613CBA0" w14:textId="77777777" w:rsidR="006B2092" w:rsidRDefault="006B2092">
            <w:pPr>
              <w:spacing w:before="120" w:after="120"/>
              <w:rPr>
                <w:rFonts w:ascii="Arial" w:hAnsi="Arial" w:cs="Arial"/>
                <w:b/>
                <w:bCs/>
                <w:sz w:val="18"/>
                <w:szCs w:val="18"/>
              </w:rPr>
            </w:pPr>
            <w:r>
              <w:rPr>
                <w:rFonts w:ascii="Arial" w:hAnsi="Arial" w:cs="Arial"/>
                <w:i/>
                <w:iCs/>
                <w:sz w:val="16"/>
                <w:szCs w:val="16"/>
              </w:rPr>
              <w:t xml:space="preserve">Delete those not applicable </w:t>
            </w:r>
          </w:p>
        </w:tc>
        <w:tc>
          <w:tcPr>
            <w:tcW w:w="5529" w:type="dxa"/>
            <w:gridSpan w:val="3"/>
            <w:tcBorders>
              <w:top w:val="nil"/>
              <w:left w:val="nil"/>
              <w:bottom w:val="nil"/>
              <w:right w:val="nil"/>
            </w:tcBorders>
            <w:shd w:val="clear" w:color="auto" w:fill="FFFF99"/>
          </w:tcPr>
          <w:p w14:paraId="00778F72" w14:textId="4CD98D04" w:rsidR="006B2092" w:rsidRDefault="00FF06E0">
            <w:pPr>
              <w:spacing w:before="120" w:after="80"/>
              <w:ind w:left="-11"/>
              <w:rPr>
                <w:rFonts w:ascii="Arial" w:hAnsi="Arial" w:cs="Arial"/>
                <w:i/>
                <w:iCs/>
                <w:sz w:val="16"/>
                <w:szCs w:val="16"/>
              </w:rPr>
            </w:pPr>
            <w:r>
              <w:rPr>
                <w:rFonts w:ascii="Arial" w:hAnsi="Arial" w:cs="Arial"/>
                <w:sz w:val="22"/>
                <w:szCs w:val="22"/>
              </w:rPr>
              <w:t>SPA</w:t>
            </w:r>
          </w:p>
        </w:tc>
        <w:tc>
          <w:tcPr>
            <w:tcW w:w="992" w:type="dxa"/>
            <w:tcBorders>
              <w:top w:val="nil"/>
              <w:left w:val="nil"/>
              <w:bottom w:val="nil"/>
              <w:right w:val="nil"/>
            </w:tcBorders>
          </w:tcPr>
          <w:p w14:paraId="05C6C57C" w14:textId="77777777" w:rsidR="006B2092" w:rsidRDefault="006B2092">
            <w:pPr>
              <w:spacing w:before="120"/>
              <w:rPr>
                <w:rFonts w:ascii="Arial" w:hAnsi="Arial" w:cs="Arial"/>
                <w:b/>
                <w:bCs/>
                <w:sz w:val="18"/>
                <w:szCs w:val="18"/>
              </w:rPr>
            </w:pPr>
          </w:p>
          <w:p w14:paraId="3592DAF3" w14:textId="77777777" w:rsidR="006B2092" w:rsidRDefault="006B2092">
            <w:pPr>
              <w:spacing w:before="120"/>
              <w:rPr>
                <w:rFonts w:ascii="Arial" w:hAnsi="Arial" w:cs="Arial"/>
                <w:b/>
                <w:bCs/>
                <w:sz w:val="18"/>
                <w:szCs w:val="18"/>
              </w:rPr>
            </w:pPr>
            <w:r>
              <w:rPr>
                <w:rFonts w:ascii="Arial" w:hAnsi="Arial" w:cs="Arial"/>
                <w:b/>
                <w:bCs/>
                <w:sz w:val="18"/>
                <w:szCs w:val="18"/>
              </w:rPr>
              <w:t>Dated:</w:t>
            </w:r>
          </w:p>
          <w:p w14:paraId="5DE66464" w14:textId="77777777" w:rsidR="006B2092" w:rsidRDefault="006B2092">
            <w:pPr>
              <w:rPr>
                <w:rFonts w:ascii="Arial" w:hAnsi="Arial" w:cs="Arial"/>
                <w:b/>
                <w:bCs/>
                <w:sz w:val="18"/>
                <w:szCs w:val="18"/>
              </w:rPr>
            </w:pPr>
          </w:p>
        </w:tc>
        <w:tc>
          <w:tcPr>
            <w:tcW w:w="3255" w:type="dxa"/>
            <w:gridSpan w:val="4"/>
            <w:tcBorders>
              <w:top w:val="nil"/>
              <w:left w:val="nil"/>
              <w:bottom w:val="nil"/>
            </w:tcBorders>
            <w:shd w:val="clear" w:color="auto" w:fill="FFFF99"/>
          </w:tcPr>
          <w:p w14:paraId="6AA62F2F" w14:textId="4A145063" w:rsidR="006B2092" w:rsidRDefault="00FF06E0">
            <w:pPr>
              <w:pStyle w:val="Heading4"/>
              <w:spacing w:before="120"/>
              <w:rPr>
                <w:i w:val="0"/>
                <w:iCs w:val="0"/>
              </w:rPr>
            </w:pPr>
            <w:r>
              <w:rPr>
                <w:i w:val="0"/>
                <w:iCs w:val="0"/>
              </w:rPr>
              <w:t>24/11/2020</w:t>
            </w:r>
          </w:p>
        </w:tc>
      </w:tr>
      <w:tr w:rsidR="006B2092" w14:paraId="2BEC6687" w14:textId="77777777">
        <w:tblPrEx>
          <w:jc w:val="center"/>
          <w:tblInd w:w="0" w:type="dxa"/>
          <w:tblBorders>
            <w:top w:val="single" w:sz="12" w:space="0" w:color="auto"/>
            <w:left w:val="single" w:sz="12" w:space="0" w:color="auto"/>
            <w:bottom w:val="single" w:sz="12" w:space="0" w:color="auto"/>
            <w:right w:val="single" w:sz="12" w:space="0" w:color="auto"/>
          </w:tblBorders>
        </w:tblPrEx>
        <w:trPr>
          <w:gridAfter w:val="2"/>
          <w:wAfter w:w="124" w:type="dxa"/>
          <w:cantSplit/>
          <w:trHeight w:val="509"/>
          <w:jc w:val="center"/>
        </w:trPr>
        <w:tc>
          <w:tcPr>
            <w:tcW w:w="1266" w:type="dxa"/>
            <w:gridSpan w:val="3"/>
            <w:tcBorders>
              <w:top w:val="single" w:sz="12" w:space="0" w:color="auto"/>
              <w:bottom w:val="single" w:sz="4" w:space="0" w:color="auto"/>
              <w:right w:val="nil"/>
            </w:tcBorders>
          </w:tcPr>
          <w:p w14:paraId="68F01E4F" w14:textId="77777777" w:rsidR="006B2092" w:rsidRDefault="006B2092">
            <w:pPr>
              <w:spacing w:before="80" w:after="80"/>
              <w:rPr>
                <w:rFonts w:ascii="Arial" w:hAnsi="Arial" w:cs="Arial"/>
                <w:sz w:val="18"/>
                <w:szCs w:val="18"/>
              </w:rPr>
            </w:pPr>
            <w:r>
              <w:rPr>
                <w:rFonts w:ascii="Arial" w:hAnsi="Arial" w:cs="Arial"/>
                <w:b/>
                <w:bCs/>
                <w:sz w:val="18"/>
                <w:szCs w:val="18"/>
              </w:rPr>
              <w:t>Ref:</w:t>
            </w:r>
          </w:p>
        </w:tc>
        <w:tc>
          <w:tcPr>
            <w:tcW w:w="9770" w:type="dxa"/>
            <w:gridSpan w:val="7"/>
            <w:tcBorders>
              <w:top w:val="single" w:sz="12" w:space="0" w:color="auto"/>
              <w:left w:val="nil"/>
              <w:bottom w:val="single" w:sz="4" w:space="0" w:color="auto"/>
            </w:tcBorders>
            <w:vAlign w:val="center"/>
          </w:tcPr>
          <w:p w14:paraId="5EC7A406" w14:textId="77777777" w:rsidR="006B2092" w:rsidRDefault="006B2092">
            <w:pPr>
              <w:pStyle w:val="Heading4"/>
              <w:rPr>
                <w:b/>
                <w:bCs/>
                <w:i w:val="0"/>
                <w:iCs w:val="0"/>
                <w:sz w:val="18"/>
                <w:szCs w:val="18"/>
              </w:rPr>
            </w:pPr>
            <w:r>
              <w:rPr>
                <w:i w:val="0"/>
                <w:iCs w:val="0"/>
              </w:rPr>
              <w:t>20/00860/OUT</w:t>
            </w:r>
            <w:r>
              <w:rPr>
                <w:b/>
                <w:bCs/>
                <w:sz w:val="18"/>
                <w:szCs w:val="18"/>
              </w:rPr>
              <w:t xml:space="preserve"> </w:t>
            </w:r>
            <w:r>
              <w:rPr>
                <w:i w:val="0"/>
                <w:iCs w:val="0"/>
              </w:rPr>
              <w:t>(Please quote this on all correspondence)</w:t>
            </w:r>
          </w:p>
        </w:tc>
      </w:tr>
      <w:tr w:rsidR="006B2092" w14:paraId="7E2F29C7" w14:textId="77777777">
        <w:tblPrEx>
          <w:jc w:val="center"/>
          <w:tblInd w:w="0" w:type="dxa"/>
          <w:tblBorders>
            <w:top w:val="single" w:sz="12" w:space="0" w:color="auto"/>
            <w:left w:val="single" w:sz="12" w:space="0" w:color="auto"/>
            <w:bottom w:val="single" w:sz="12" w:space="0" w:color="auto"/>
            <w:right w:val="single" w:sz="12" w:space="0" w:color="auto"/>
          </w:tblBorders>
        </w:tblPrEx>
        <w:trPr>
          <w:gridAfter w:val="2"/>
          <w:wAfter w:w="124" w:type="dxa"/>
          <w:cantSplit/>
          <w:trHeight w:val="579"/>
          <w:jc w:val="center"/>
        </w:trPr>
        <w:tc>
          <w:tcPr>
            <w:tcW w:w="1266" w:type="dxa"/>
            <w:gridSpan w:val="3"/>
            <w:tcBorders>
              <w:top w:val="single" w:sz="4" w:space="0" w:color="auto"/>
              <w:bottom w:val="single" w:sz="4" w:space="0" w:color="auto"/>
              <w:right w:val="nil"/>
            </w:tcBorders>
          </w:tcPr>
          <w:p w14:paraId="2726158C" w14:textId="77777777" w:rsidR="006B2092" w:rsidRDefault="006B2092">
            <w:pPr>
              <w:spacing w:before="80" w:after="80"/>
              <w:rPr>
                <w:rFonts w:ascii="Arial" w:hAnsi="Arial" w:cs="Arial"/>
                <w:b/>
                <w:bCs/>
                <w:sz w:val="18"/>
                <w:szCs w:val="18"/>
              </w:rPr>
            </w:pPr>
            <w:r>
              <w:rPr>
                <w:rFonts w:ascii="Arial" w:hAnsi="Arial" w:cs="Arial"/>
                <w:b/>
                <w:bCs/>
                <w:sz w:val="18"/>
                <w:szCs w:val="18"/>
              </w:rPr>
              <w:t>Proposal:</w:t>
            </w:r>
          </w:p>
        </w:tc>
        <w:tc>
          <w:tcPr>
            <w:tcW w:w="9770" w:type="dxa"/>
            <w:gridSpan w:val="7"/>
            <w:tcBorders>
              <w:top w:val="single" w:sz="4" w:space="0" w:color="auto"/>
              <w:left w:val="nil"/>
              <w:bottom w:val="single" w:sz="4" w:space="0" w:color="auto"/>
            </w:tcBorders>
            <w:vAlign w:val="center"/>
          </w:tcPr>
          <w:p w14:paraId="7B1560CA" w14:textId="77777777" w:rsidR="006B2092" w:rsidRDefault="006B2092">
            <w:pPr>
              <w:pStyle w:val="Heading4"/>
              <w:rPr>
                <w:i w:val="0"/>
                <w:iCs w:val="0"/>
              </w:rPr>
            </w:pPr>
            <w:r>
              <w:rPr>
                <w:i w:val="0"/>
                <w:iCs w:val="0"/>
              </w:rPr>
              <w:t>Outline application for the erection of three detached buildings comprising a total of 15 flats following for the demolition of all the existing buildings on the site with issues of access and layout only to be determined.</w:t>
            </w:r>
          </w:p>
        </w:tc>
      </w:tr>
      <w:tr w:rsidR="006B2092" w14:paraId="4C12FCB8" w14:textId="77777777">
        <w:tblPrEx>
          <w:jc w:val="center"/>
          <w:tblInd w:w="0" w:type="dxa"/>
          <w:tblBorders>
            <w:top w:val="single" w:sz="12" w:space="0" w:color="auto"/>
            <w:left w:val="single" w:sz="12" w:space="0" w:color="auto"/>
            <w:bottom w:val="single" w:sz="12" w:space="0" w:color="auto"/>
            <w:right w:val="single" w:sz="12" w:space="0" w:color="auto"/>
          </w:tblBorders>
        </w:tblPrEx>
        <w:trPr>
          <w:gridAfter w:val="2"/>
          <w:wAfter w:w="124" w:type="dxa"/>
          <w:cantSplit/>
          <w:jc w:val="center"/>
        </w:trPr>
        <w:tc>
          <w:tcPr>
            <w:tcW w:w="1266" w:type="dxa"/>
            <w:gridSpan w:val="3"/>
            <w:tcBorders>
              <w:top w:val="single" w:sz="4" w:space="0" w:color="auto"/>
              <w:bottom w:val="single" w:sz="12" w:space="0" w:color="auto"/>
              <w:right w:val="nil"/>
            </w:tcBorders>
          </w:tcPr>
          <w:p w14:paraId="7262B5FE" w14:textId="77777777" w:rsidR="006B2092" w:rsidRDefault="006B2092">
            <w:pPr>
              <w:spacing w:before="80" w:after="80"/>
              <w:rPr>
                <w:rFonts w:ascii="Arial" w:hAnsi="Arial" w:cs="Arial"/>
                <w:b/>
                <w:bCs/>
                <w:sz w:val="18"/>
                <w:szCs w:val="18"/>
              </w:rPr>
            </w:pPr>
            <w:r>
              <w:rPr>
                <w:rFonts w:ascii="Arial" w:hAnsi="Arial" w:cs="Arial"/>
                <w:b/>
                <w:bCs/>
                <w:sz w:val="18"/>
                <w:szCs w:val="18"/>
              </w:rPr>
              <w:t>Location:</w:t>
            </w:r>
          </w:p>
        </w:tc>
        <w:tc>
          <w:tcPr>
            <w:tcW w:w="9770" w:type="dxa"/>
            <w:gridSpan w:val="7"/>
            <w:tcBorders>
              <w:top w:val="single" w:sz="4" w:space="0" w:color="auto"/>
              <w:left w:val="nil"/>
              <w:bottom w:val="single" w:sz="12" w:space="0" w:color="auto"/>
            </w:tcBorders>
            <w:vAlign w:val="center"/>
          </w:tcPr>
          <w:p w14:paraId="4FECD778" w14:textId="77777777" w:rsidR="006B2092" w:rsidRDefault="006B2092">
            <w:pPr>
              <w:pStyle w:val="Heading4"/>
              <w:rPr>
                <w:i w:val="0"/>
                <w:iCs w:val="0"/>
              </w:rPr>
            </w:pPr>
            <w:r>
              <w:rPr>
                <w:i w:val="0"/>
                <w:iCs w:val="0"/>
              </w:rPr>
              <w:t>92A Yorktown Road Sandhurst Berkshire</w:t>
            </w:r>
          </w:p>
        </w:tc>
      </w:tr>
      <w:tr w:rsidR="006B2092" w14:paraId="2F6AEC6D" w14:textId="77777777">
        <w:tblPrEx>
          <w:jc w:val="center"/>
          <w:tblInd w:w="0" w:type="dxa"/>
          <w:tblBorders>
            <w:top w:val="single" w:sz="12" w:space="0" w:color="auto"/>
            <w:left w:val="single" w:sz="12" w:space="0" w:color="auto"/>
            <w:bottom w:val="single" w:sz="12" w:space="0" w:color="auto"/>
            <w:right w:val="single" w:sz="12" w:space="0" w:color="auto"/>
          </w:tblBorders>
        </w:tblPrEx>
        <w:trPr>
          <w:gridAfter w:val="2"/>
          <w:wAfter w:w="124" w:type="dxa"/>
          <w:cantSplit/>
          <w:trHeight w:val="541"/>
          <w:jc w:val="center"/>
        </w:trPr>
        <w:tc>
          <w:tcPr>
            <w:tcW w:w="1266" w:type="dxa"/>
            <w:gridSpan w:val="3"/>
            <w:tcBorders>
              <w:top w:val="single" w:sz="12" w:space="0" w:color="auto"/>
              <w:bottom w:val="single" w:sz="8" w:space="0" w:color="auto"/>
              <w:right w:val="single" w:sz="8" w:space="0" w:color="auto"/>
            </w:tcBorders>
            <w:vAlign w:val="center"/>
          </w:tcPr>
          <w:p w14:paraId="0F760ECA" w14:textId="77777777" w:rsidR="006B2092" w:rsidRDefault="006B2092">
            <w:pPr>
              <w:rPr>
                <w:rFonts w:ascii="Arial" w:hAnsi="Arial" w:cs="Arial"/>
                <w:b/>
                <w:bCs/>
                <w:sz w:val="18"/>
                <w:szCs w:val="18"/>
              </w:rPr>
            </w:pPr>
            <w:r>
              <w:rPr>
                <w:rFonts w:ascii="Arial" w:hAnsi="Arial" w:cs="Arial"/>
                <w:b/>
                <w:bCs/>
                <w:sz w:val="18"/>
                <w:szCs w:val="18"/>
              </w:rPr>
              <w:t>Consultee</w:t>
            </w:r>
          </w:p>
          <w:p w14:paraId="3F221D18" w14:textId="77777777" w:rsidR="006B2092" w:rsidRDefault="006B2092">
            <w:pPr>
              <w:rPr>
                <w:rFonts w:ascii="Arial" w:hAnsi="Arial" w:cs="Arial"/>
                <w:b/>
                <w:bCs/>
                <w:sz w:val="18"/>
                <w:szCs w:val="18"/>
              </w:rPr>
            </w:pPr>
            <w:r>
              <w:rPr>
                <w:rFonts w:ascii="Arial" w:hAnsi="Arial" w:cs="Arial"/>
                <w:b/>
                <w:bCs/>
                <w:sz w:val="18"/>
                <w:szCs w:val="18"/>
              </w:rPr>
              <w:t>Response:</w:t>
            </w:r>
          </w:p>
        </w:tc>
        <w:tc>
          <w:tcPr>
            <w:tcW w:w="1701" w:type="dxa"/>
            <w:gridSpan w:val="2"/>
            <w:tcBorders>
              <w:top w:val="single" w:sz="12" w:space="0" w:color="auto"/>
              <w:left w:val="single" w:sz="8" w:space="0" w:color="auto"/>
              <w:bottom w:val="single" w:sz="8" w:space="0" w:color="auto"/>
              <w:right w:val="single" w:sz="8" w:space="0" w:color="auto"/>
            </w:tcBorders>
          </w:tcPr>
          <w:p w14:paraId="1AC30706" w14:textId="77777777" w:rsidR="006B2092" w:rsidRDefault="006B2092">
            <w:pPr>
              <w:pStyle w:val="Header"/>
              <w:tabs>
                <w:tab w:val="clear" w:pos="4153"/>
                <w:tab w:val="clear" w:pos="8306"/>
              </w:tabs>
              <w:spacing w:before="120"/>
              <w:rPr>
                <w:rFonts w:ascii="Arial" w:hAnsi="Arial" w:cs="Arial"/>
                <w:b/>
                <w:bCs/>
              </w:rPr>
            </w:pPr>
            <w:r>
              <w:rPr>
                <w:rFonts w:ascii="Arial" w:hAnsi="Arial" w:cs="Arial"/>
                <w:b/>
                <w:bCs/>
              </w:rPr>
              <w:t>DWG / Doc Ref:</w:t>
            </w:r>
          </w:p>
        </w:tc>
        <w:tc>
          <w:tcPr>
            <w:tcW w:w="8069" w:type="dxa"/>
            <w:gridSpan w:val="5"/>
            <w:tcBorders>
              <w:top w:val="single" w:sz="12" w:space="0" w:color="auto"/>
              <w:left w:val="single" w:sz="8" w:space="0" w:color="auto"/>
              <w:bottom w:val="single" w:sz="8" w:space="0" w:color="auto"/>
            </w:tcBorders>
            <w:shd w:val="clear" w:color="auto" w:fill="FFFF99"/>
          </w:tcPr>
          <w:p w14:paraId="46F13AD6" w14:textId="77777777" w:rsidR="006B2092" w:rsidRDefault="006B2092">
            <w:pPr>
              <w:pStyle w:val="Header"/>
              <w:tabs>
                <w:tab w:val="clear" w:pos="4153"/>
                <w:tab w:val="clear" w:pos="8306"/>
              </w:tabs>
              <w:spacing w:before="120"/>
              <w:rPr>
                <w:rFonts w:ascii="Comic Sans MS" w:hAnsi="Comic Sans MS" w:cs="Comic Sans MS"/>
              </w:rPr>
            </w:pPr>
            <w:r>
              <w:rPr>
                <w:rFonts w:ascii="Comic Sans MS" w:hAnsi="Comic Sans MS" w:cs="Comic Sans MS"/>
              </w:rPr>
              <w:t xml:space="preserve">Type here all </w:t>
            </w:r>
            <w:proofErr w:type="spellStart"/>
            <w:r>
              <w:rPr>
                <w:rFonts w:ascii="Comic Sans MS" w:hAnsi="Comic Sans MS" w:cs="Comic Sans MS"/>
              </w:rPr>
              <w:t>dwg</w:t>
            </w:r>
            <w:proofErr w:type="spellEnd"/>
            <w:r>
              <w:rPr>
                <w:rFonts w:ascii="Comic Sans MS" w:hAnsi="Comic Sans MS" w:cs="Comic Sans MS"/>
              </w:rPr>
              <w:t xml:space="preserve"> no’s / documents referred to…</w:t>
            </w:r>
          </w:p>
        </w:tc>
      </w:tr>
    </w:tbl>
    <w:p w14:paraId="385309CA" w14:textId="77777777" w:rsidR="00FF06E0" w:rsidRPr="00FF06E0" w:rsidRDefault="00FF06E0" w:rsidP="00FF06E0">
      <w:pPr>
        <w:autoSpaceDE/>
        <w:autoSpaceDN/>
        <w:rPr>
          <w:rFonts w:ascii="Arial" w:eastAsia="Calibri" w:hAnsi="Arial" w:cs="Arial"/>
          <w:color w:val="FF0000"/>
          <w:sz w:val="22"/>
          <w:szCs w:val="22"/>
        </w:rPr>
      </w:pPr>
      <w:proofErr w:type="gramStart"/>
      <w:r w:rsidRPr="00FF06E0">
        <w:rPr>
          <w:rFonts w:ascii="Arial" w:eastAsia="Calibri" w:hAnsi="Arial" w:cs="Arial"/>
          <w:color w:val="FF0000"/>
          <w:sz w:val="22"/>
          <w:szCs w:val="22"/>
        </w:rPr>
        <w:t>In light of</w:t>
      </w:r>
      <w:proofErr w:type="gramEnd"/>
      <w:r w:rsidRPr="00FF06E0">
        <w:rPr>
          <w:rFonts w:ascii="Arial" w:eastAsia="Calibri" w:hAnsi="Arial" w:cs="Arial"/>
          <w:color w:val="FF0000"/>
          <w:sz w:val="22"/>
          <w:szCs w:val="22"/>
        </w:rPr>
        <w:t xml:space="preserve"> the “Sweetman Judgement” (People Over Wind and Sweetman v </w:t>
      </w:r>
      <w:proofErr w:type="spellStart"/>
      <w:r w:rsidRPr="00FF06E0">
        <w:rPr>
          <w:rFonts w:ascii="Arial" w:eastAsia="Calibri" w:hAnsi="Arial" w:cs="Arial"/>
          <w:color w:val="FF0000"/>
          <w:sz w:val="22"/>
          <w:szCs w:val="22"/>
        </w:rPr>
        <w:t>Coillte</w:t>
      </w:r>
      <w:proofErr w:type="spellEnd"/>
      <w:r w:rsidRPr="00FF06E0">
        <w:rPr>
          <w:rFonts w:ascii="Arial" w:eastAsia="Calibri" w:hAnsi="Arial" w:cs="Arial"/>
          <w:color w:val="FF0000"/>
          <w:sz w:val="22"/>
          <w:szCs w:val="22"/>
        </w:rPr>
        <w:t xml:space="preserve"> </w:t>
      </w:r>
      <w:proofErr w:type="spellStart"/>
      <w:r w:rsidRPr="00FF06E0">
        <w:rPr>
          <w:rFonts w:ascii="Arial" w:eastAsia="Calibri" w:hAnsi="Arial" w:cs="Arial"/>
          <w:color w:val="FF0000"/>
          <w:sz w:val="22"/>
          <w:szCs w:val="22"/>
        </w:rPr>
        <w:t>Teoranta</w:t>
      </w:r>
      <w:proofErr w:type="spellEnd"/>
      <w:r w:rsidRPr="00FF06E0">
        <w:rPr>
          <w:rFonts w:ascii="Arial" w:eastAsia="Calibri" w:hAnsi="Arial" w:cs="Arial"/>
          <w:color w:val="FF0000"/>
          <w:sz w:val="22"/>
          <w:szCs w:val="22"/>
        </w:rPr>
        <w:t xml:space="preserve">, April 2018) the comments below comprise an Appropriate Assessment and includes advice on necessary avoidance and mitigation measures which is consistent with the advice provided to PINS on such matters. </w:t>
      </w:r>
    </w:p>
    <w:p w14:paraId="64AB6CB0" w14:textId="77777777" w:rsidR="00FF06E0" w:rsidRPr="00FF06E0" w:rsidRDefault="00FF06E0" w:rsidP="00FF06E0">
      <w:pPr>
        <w:autoSpaceDE/>
        <w:autoSpaceDN/>
        <w:rPr>
          <w:rFonts w:ascii="Arial" w:eastAsia="Calibri" w:hAnsi="Arial" w:cs="Arial"/>
          <w:color w:val="FF0000"/>
          <w:sz w:val="22"/>
          <w:szCs w:val="22"/>
        </w:rPr>
      </w:pPr>
    </w:p>
    <w:p w14:paraId="1F7581C4" w14:textId="77777777" w:rsidR="00FF06E0" w:rsidRPr="00FF06E0" w:rsidRDefault="00FF06E0" w:rsidP="00FF06E0">
      <w:pPr>
        <w:autoSpaceDE/>
        <w:autoSpaceDN/>
        <w:rPr>
          <w:rFonts w:ascii="Arial" w:eastAsia="Calibri" w:hAnsi="Arial" w:cs="Arial"/>
          <w:color w:val="FF0000"/>
          <w:sz w:val="22"/>
          <w:szCs w:val="22"/>
        </w:rPr>
      </w:pPr>
      <w:r w:rsidRPr="00FF06E0">
        <w:rPr>
          <w:rFonts w:ascii="Arial" w:eastAsia="Calibri" w:hAnsi="Arial" w:cs="Arial"/>
          <w:color w:val="FF0000"/>
          <w:sz w:val="22"/>
          <w:szCs w:val="22"/>
        </w:rPr>
        <w:t xml:space="preserve">Natural England has issued a standard consultation response </w:t>
      </w:r>
      <w:hyperlink r:id="rId12" w:history="1">
        <w:r w:rsidRPr="00FF06E0">
          <w:rPr>
            <w:rFonts w:ascii="Arial" w:eastAsia="Calibri" w:hAnsi="Arial" w:cs="Arial"/>
            <w:color w:val="0000FF"/>
            <w:sz w:val="22"/>
            <w:szCs w:val="22"/>
            <w:u w:val="single"/>
          </w:rPr>
          <w:t>https://www.bracknell-forest.gov.uk/sites/default/files/documents/ne-standing-advice-update-june-2020.pdf</w:t>
        </w:r>
      </w:hyperlink>
      <w:r w:rsidRPr="00FF06E0">
        <w:rPr>
          <w:rFonts w:ascii="Arial" w:eastAsia="Calibri" w:hAnsi="Arial" w:cs="Arial"/>
          <w:color w:val="FF0000"/>
          <w:sz w:val="22"/>
          <w:szCs w:val="22"/>
        </w:rPr>
        <w:t xml:space="preserve">  to ensure compliance with the consultation requirements of Regulation 63(5) of the Conservation of Habitats and Species Regulations (2017) (as amended) </w:t>
      </w:r>
      <w:r w:rsidRPr="00FF06E0">
        <w:rPr>
          <w:rFonts w:ascii="Arial" w:eastAsia="Calibri" w:hAnsi="Arial" w:cs="Arial"/>
          <w:i/>
          <w:iCs/>
          <w:color w:val="FF0000"/>
          <w:sz w:val="22"/>
          <w:szCs w:val="22"/>
        </w:rPr>
        <w:t xml:space="preserve">“The competent authority must for the purposes of the assessment consult the appropriate nature conservation body and have regard to any representations made by that body within such reasonable time as the authority specifies” </w:t>
      </w:r>
      <w:r w:rsidRPr="00FF06E0">
        <w:rPr>
          <w:rFonts w:ascii="Arial" w:eastAsia="Calibri" w:hAnsi="Arial" w:cs="Arial"/>
          <w:color w:val="FF0000"/>
          <w:sz w:val="22"/>
          <w:szCs w:val="22"/>
        </w:rPr>
        <w:t xml:space="preserve"> to confirm that it has no comments to make on Appropriate Assessments which are carried out by Bracknell Forest Council for planning applications which conclude no adverse effects on the integrity of habitats sites due to measures being secured through a legal agreement and in accordance with the following:</w:t>
      </w:r>
    </w:p>
    <w:p w14:paraId="7A001045" w14:textId="77777777" w:rsidR="00FF06E0" w:rsidRPr="00FF06E0" w:rsidRDefault="00FF06E0" w:rsidP="00FF06E0">
      <w:pPr>
        <w:autoSpaceDE/>
        <w:autoSpaceDN/>
        <w:rPr>
          <w:rFonts w:ascii="Arial" w:eastAsia="Calibri" w:hAnsi="Arial" w:cs="Arial"/>
          <w:color w:val="FF0000"/>
          <w:sz w:val="22"/>
          <w:szCs w:val="22"/>
        </w:rPr>
      </w:pPr>
    </w:p>
    <w:p w14:paraId="6F7D1FA0" w14:textId="77777777" w:rsidR="00FF06E0" w:rsidRPr="00FF06E0" w:rsidRDefault="00FF06E0" w:rsidP="00FF06E0">
      <w:pPr>
        <w:numPr>
          <w:ilvl w:val="0"/>
          <w:numId w:val="6"/>
        </w:numPr>
        <w:autoSpaceDE/>
        <w:autoSpaceDN/>
        <w:contextualSpacing/>
        <w:rPr>
          <w:rFonts w:ascii="Arial" w:eastAsia="Calibri" w:hAnsi="Arial" w:cs="Arial"/>
          <w:color w:val="FF0000"/>
          <w:sz w:val="22"/>
          <w:szCs w:val="22"/>
        </w:rPr>
      </w:pPr>
      <w:r w:rsidRPr="00FF06E0">
        <w:rPr>
          <w:rFonts w:ascii="Arial" w:eastAsia="Calibri" w:hAnsi="Arial" w:cs="Arial"/>
          <w:color w:val="FF0000"/>
          <w:sz w:val="22"/>
          <w:szCs w:val="22"/>
        </w:rPr>
        <w:t>the Bracknell Forest Thames Basin Heaths Special Protection Area Supplementary Planning Document (2018)</w:t>
      </w:r>
    </w:p>
    <w:p w14:paraId="2E332101" w14:textId="77777777" w:rsidR="00FF06E0" w:rsidRPr="00FF06E0" w:rsidRDefault="00FF06E0" w:rsidP="00FF06E0">
      <w:pPr>
        <w:numPr>
          <w:ilvl w:val="0"/>
          <w:numId w:val="6"/>
        </w:numPr>
        <w:autoSpaceDE/>
        <w:autoSpaceDN/>
        <w:contextualSpacing/>
        <w:rPr>
          <w:rFonts w:ascii="Arial" w:eastAsia="Calibri" w:hAnsi="Arial" w:cs="Arial"/>
          <w:color w:val="FF0000"/>
          <w:sz w:val="22"/>
          <w:szCs w:val="22"/>
        </w:rPr>
      </w:pPr>
      <w:r w:rsidRPr="00FF06E0">
        <w:rPr>
          <w:rFonts w:ascii="Arial" w:eastAsia="Calibri" w:hAnsi="Arial" w:cs="Arial"/>
          <w:color w:val="FF0000"/>
          <w:sz w:val="22"/>
          <w:szCs w:val="22"/>
        </w:rPr>
        <w:t xml:space="preserve">further agreed policies, guidance and evidence as listed below. </w:t>
      </w:r>
    </w:p>
    <w:p w14:paraId="7A860225" w14:textId="77777777" w:rsidR="00FF06E0" w:rsidRPr="00FF06E0" w:rsidRDefault="00FF06E0" w:rsidP="00FF06E0">
      <w:pPr>
        <w:autoSpaceDE/>
        <w:autoSpaceDN/>
        <w:rPr>
          <w:rFonts w:ascii="Arial" w:eastAsia="Calibri" w:hAnsi="Arial" w:cs="Arial"/>
          <w:b/>
          <w:bCs/>
          <w:sz w:val="22"/>
          <w:szCs w:val="22"/>
          <w:u w:val="single"/>
        </w:rPr>
      </w:pPr>
    </w:p>
    <w:p w14:paraId="020D3D08" w14:textId="77777777" w:rsidR="00FF06E0" w:rsidRPr="00FF06E0" w:rsidRDefault="00FF06E0" w:rsidP="00FF06E0">
      <w:pPr>
        <w:autoSpaceDE/>
        <w:autoSpaceDN/>
        <w:rPr>
          <w:rFonts w:ascii="Arial" w:eastAsia="Calibri" w:hAnsi="Arial" w:cs="Arial"/>
          <w:b/>
          <w:bCs/>
          <w:sz w:val="22"/>
          <w:szCs w:val="22"/>
          <w:u w:val="single"/>
        </w:rPr>
      </w:pPr>
      <w:r w:rsidRPr="00FF06E0">
        <w:rPr>
          <w:rFonts w:ascii="Arial" w:eastAsia="Calibri" w:hAnsi="Arial" w:cs="Arial"/>
          <w:b/>
          <w:bCs/>
          <w:sz w:val="22"/>
          <w:szCs w:val="22"/>
          <w:u w:val="single"/>
        </w:rPr>
        <w:t>Summary of Response</w:t>
      </w:r>
    </w:p>
    <w:p w14:paraId="50EB0B7C" w14:textId="77777777" w:rsidR="00FF06E0" w:rsidRPr="00FF06E0" w:rsidRDefault="00FF06E0" w:rsidP="00FF06E0">
      <w:pPr>
        <w:autoSpaceDE/>
        <w:autoSpaceDN/>
        <w:rPr>
          <w:rFonts w:ascii="Arial" w:eastAsia="Calibri" w:hAnsi="Arial" w:cs="Arial"/>
          <w:b/>
          <w:bCs/>
          <w:sz w:val="22"/>
          <w:szCs w:val="22"/>
          <w:u w:val="single"/>
        </w:rPr>
      </w:pPr>
    </w:p>
    <w:p w14:paraId="64247B00" w14:textId="77777777" w:rsidR="00FF06E0" w:rsidRPr="00FF06E0" w:rsidRDefault="00FF06E0" w:rsidP="00FF06E0">
      <w:pPr>
        <w:autoSpaceDE/>
        <w:autoSpaceDN/>
        <w:rPr>
          <w:rFonts w:ascii="Arial" w:eastAsia="Calibri" w:hAnsi="Arial" w:cs="Arial"/>
          <w:color w:val="000000"/>
          <w:sz w:val="22"/>
          <w:szCs w:val="22"/>
        </w:rPr>
      </w:pPr>
      <w:r w:rsidRPr="00FF06E0">
        <w:rPr>
          <w:rFonts w:ascii="Arial" w:eastAsia="Calibri" w:hAnsi="Arial" w:cs="Arial"/>
          <w:color w:val="000000"/>
          <w:sz w:val="22"/>
          <w:szCs w:val="22"/>
        </w:rPr>
        <w:t xml:space="preserve">The Council, in consultation with Natural England, has formed the view that any net increase in residential development between 400m and 5km straight-line distance from the Thames Basin Heath Special Protection Area (SPA) is likely to have a significant effect on the integrity of the SPA, either alone or in-combination with other plans or projects. An Appropriate Assessment has been carried out including mitigation requirements. </w:t>
      </w:r>
    </w:p>
    <w:p w14:paraId="668F8F81" w14:textId="77777777" w:rsidR="00FF06E0" w:rsidRPr="00FF06E0" w:rsidRDefault="00FF06E0" w:rsidP="00FF06E0">
      <w:pPr>
        <w:autoSpaceDE/>
        <w:autoSpaceDN/>
        <w:rPr>
          <w:rFonts w:ascii="Arial" w:eastAsia="Calibri" w:hAnsi="Arial" w:cs="Arial"/>
          <w:color w:val="000000"/>
          <w:sz w:val="22"/>
          <w:szCs w:val="22"/>
        </w:rPr>
      </w:pPr>
    </w:p>
    <w:p w14:paraId="2C814645" w14:textId="51E5AF8A" w:rsidR="00FF06E0" w:rsidRPr="00FF06E0" w:rsidRDefault="00FF06E0" w:rsidP="00FF06E0">
      <w:pPr>
        <w:autoSpaceDE/>
        <w:autoSpaceDN/>
        <w:rPr>
          <w:rFonts w:ascii="Arial" w:eastAsia="Calibri" w:hAnsi="Arial" w:cs="Arial"/>
          <w:b/>
          <w:color w:val="000000"/>
          <w:sz w:val="22"/>
          <w:szCs w:val="22"/>
        </w:rPr>
      </w:pPr>
      <w:r w:rsidRPr="00FF06E0">
        <w:rPr>
          <w:rFonts w:ascii="Arial" w:eastAsia="Calibri" w:hAnsi="Arial" w:cs="Arial"/>
          <w:color w:val="000000"/>
          <w:sz w:val="22"/>
          <w:szCs w:val="22"/>
        </w:rPr>
        <w:t xml:space="preserve">This site is located approximately </w:t>
      </w:r>
      <w:r w:rsidRPr="00FF06E0">
        <w:rPr>
          <w:rFonts w:ascii="Arial" w:eastAsia="Calibri" w:hAnsi="Arial" w:cs="Arial"/>
          <w:b/>
          <w:color w:val="000000"/>
          <w:sz w:val="22"/>
          <w:szCs w:val="22"/>
        </w:rPr>
        <w:t>0.8</w:t>
      </w:r>
      <w:r>
        <w:rPr>
          <w:rFonts w:ascii="Arial" w:eastAsia="Calibri" w:hAnsi="Arial" w:cs="Arial"/>
          <w:b/>
          <w:color w:val="000000"/>
          <w:sz w:val="22"/>
          <w:szCs w:val="22"/>
        </w:rPr>
        <w:t>7</w:t>
      </w:r>
      <w:r w:rsidRPr="00FF06E0">
        <w:rPr>
          <w:rFonts w:ascii="Arial" w:eastAsia="Calibri" w:hAnsi="Arial" w:cs="Arial"/>
          <w:b/>
          <w:color w:val="000000"/>
          <w:sz w:val="22"/>
          <w:szCs w:val="22"/>
        </w:rPr>
        <w:t xml:space="preserve"> km</w:t>
      </w:r>
      <w:r w:rsidRPr="00FF06E0">
        <w:rPr>
          <w:rFonts w:ascii="Arial" w:eastAsia="Calibri" w:hAnsi="Arial" w:cs="Arial"/>
          <w:color w:val="000000"/>
          <w:sz w:val="22"/>
          <w:szCs w:val="22"/>
        </w:rPr>
        <w:t xml:space="preserve"> from the boundary of the SPA and therefore is likely to result in an adverse effect on the SPA, unless it is carried out together with appropriate avoidance and mitigation measures.</w:t>
      </w:r>
    </w:p>
    <w:p w14:paraId="767188F3" w14:textId="77777777" w:rsidR="00FF06E0" w:rsidRPr="00FF06E0" w:rsidRDefault="00FF06E0" w:rsidP="00FF06E0">
      <w:pPr>
        <w:autoSpaceDE/>
        <w:autoSpaceDN/>
        <w:rPr>
          <w:rFonts w:ascii="Arial" w:eastAsia="Calibri" w:hAnsi="Arial" w:cs="Arial"/>
          <w:color w:val="000000"/>
          <w:sz w:val="22"/>
          <w:szCs w:val="22"/>
        </w:rPr>
      </w:pPr>
    </w:p>
    <w:p w14:paraId="7C9FC1D8" w14:textId="77777777" w:rsidR="00FF06E0" w:rsidRPr="00FF06E0" w:rsidRDefault="00FF06E0" w:rsidP="00FF06E0">
      <w:pPr>
        <w:autoSpaceDE/>
        <w:autoSpaceDN/>
        <w:rPr>
          <w:rFonts w:ascii="Arial" w:eastAsia="Calibri" w:hAnsi="Arial" w:cs="Arial"/>
          <w:color w:val="000000"/>
          <w:sz w:val="22"/>
          <w:szCs w:val="22"/>
        </w:rPr>
      </w:pPr>
      <w:r w:rsidRPr="00FF06E0">
        <w:rPr>
          <w:rFonts w:ascii="Arial" w:eastAsia="Calibri" w:hAnsi="Arial" w:cs="Arial"/>
          <w:color w:val="000000"/>
          <w:sz w:val="22"/>
          <w:szCs w:val="22"/>
        </w:rPr>
        <w:t xml:space="preserve">On commencement of the development, a contribution (calculated on a per-bedroom basis) is to be paid to the Council towards the cost of measures to avoid and mitigate against the effect upon the Thames Basin Heaths SPA, as set out in the Council's Thames Basin Heaths Special Protection Area Supplementary Planning Document (SPD). The strategy is for relevant developments to make financial contributions towards the provision of Suitable Alternative Natural Greenspaces (SANGs) in perpetuity as an alternative recreational location to the SPA and financial contributions towards Strategic Access Management and Monitoring (SAMM) measures. The Council will also </w:t>
      </w:r>
      <w:proofErr w:type="gramStart"/>
      <w:r w:rsidRPr="00FF06E0">
        <w:rPr>
          <w:rFonts w:ascii="Arial" w:eastAsia="Calibri" w:hAnsi="Arial" w:cs="Arial"/>
          <w:color w:val="000000"/>
          <w:sz w:val="22"/>
          <w:szCs w:val="22"/>
        </w:rPr>
        <w:t>make a contribution</w:t>
      </w:r>
      <w:proofErr w:type="gramEnd"/>
      <w:r w:rsidRPr="00FF06E0">
        <w:rPr>
          <w:rFonts w:ascii="Arial" w:eastAsia="Calibri" w:hAnsi="Arial" w:cs="Arial"/>
          <w:color w:val="000000"/>
          <w:sz w:val="22"/>
          <w:szCs w:val="22"/>
        </w:rPr>
        <w:t xml:space="preserve"> towards SANG enhancement works through Community Infrastructure Levy (CIL) payments whether or not this development is liable to CIL.</w:t>
      </w:r>
    </w:p>
    <w:p w14:paraId="17DC6725" w14:textId="77777777" w:rsidR="00FF06E0" w:rsidRPr="00FF06E0" w:rsidRDefault="00FF06E0" w:rsidP="00FF06E0">
      <w:pPr>
        <w:autoSpaceDE/>
        <w:autoSpaceDN/>
        <w:rPr>
          <w:rFonts w:ascii="Arial" w:eastAsia="Calibri" w:hAnsi="Arial" w:cs="Arial"/>
          <w:color w:val="000000"/>
          <w:sz w:val="22"/>
          <w:szCs w:val="22"/>
        </w:rPr>
      </w:pPr>
    </w:p>
    <w:p w14:paraId="7D6DAAAA" w14:textId="3E294C5E" w:rsidR="00FF06E0" w:rsidRPr="00FF06E0" w:rsidRDefault="00FF06E0" w:rsidP="00FF06E0">
      <w:pPr>
        <w:autoSpaceDE/>
        <w:autoSpaceDN/>
        <w:rPr>
          <w:rFonts w:ascii="Arial" w:eastAsia="Calibri" w:hAnsi="Arial" w:cs="Arial"/>
          <w:color w:val="000000"/>
          <w:sz w:val="22"/>
          <w:szCs w:val="22"/>
        </w:rPr>
      </w:pPr>
      <w:r w:rsidRPr="00FF06E0">
        <w:rPr>
          <w:rFonts w:ascii="Arial" w:eastAsia="Calibri" w:hAnsi="Arial" w:cs="Arial"/>
          <w:color w:val="000000"/>
          <w:sz w:val="22"/>
          <w:szCs w:val="22"/>
        </w:rPr>
        <w:t xml:space="preserve">In this instance, the development would result in a net increase </w:t>
      </w:r>
      <w:bookmarkStart w:id="1" w:name="_Hlk57106060"/>
      <w:r w:rsidRPr="00FF06E0">
        <w:rPr>
          <w:rFonts w:ascii="Arial" w:eastAsia="Calibri" w:hAnsi="Arial" w:cs="Arial"/>
          <w:color w:val="000000"/>
          <w:sz w:val="22"/>
          <w:szCs w:val="22"/>
        </w:rPr>
        <w:t xml:space="preserve">of </w:t>
      </w:r>
      <w:bookmarkStart w:id="2" w:name="_Hlk57104478"/>
      <w:r w:rsidRPr="00FF06E0">
        <w:rPr>
          <w:rFonts w:ascii="Arial" w:eastAsia="Calibri" w:hAnsi="Arial" w:cs="Arial"/>
          <w:b/>
          <w:color w:val="000000"/>
          <w:sz w:val="22"/>
          <w:szCs w:val="22"/>
        </w:rPr>
        <w:t>three x 1-bedroom dwellings and</w:t>
      </w:r>
      <w:r>
        <w:rPr>
          <w:rFonts w:ascii="Arial" w:eastAsia="Calibri" w:hAnsi="Arial" w:cs="Arial"/>
          <w:b/>
          <w:color w:val="000000"/>
          <w:sz w:val="22"/>
          <w:szCs w:val="22"/>
        </w:rPr>
        <w:t xml:space="preserve"> twelve</w:t>
      </w:r>
      <w:r w:rsidRPr="00FF06E0">
        <w:rPr>
          <w:rFonts w:ascii="Arial" w:eastAsia="Calibri" w:hAnsi="Arial" w:cs="Arial"/>
          <w:b/>
          <w:color w:val="000000"/>
          <w:sz w:val="22"/>
          <w:szCs w:val="22"/>
        </w:rPr>
        <w:t xml:space="preserve"> x 2 –bedroom dwellings</w:t>
      </w:r>
      <w:r>
        <w:rPr>
          <w:rFonts w:ascii="Arial" w:eastAsia="Calibri" w:hAnsi="Arial" w:cs="Arial"/>
          <w:b/>
          <w:color w:val="000000"/>
          <w:sz w:val="22"/>
          <w:szCs w:val="22"/>
        </w:rPr>
        <w:t xml:space="preserve"> replacing the existing 3 -bedroom dwelling</w:t>
      </w:r>
      <w:r w:rsidRPr="00FF06E0">
        <w:rPr>
          <w:rFonts w:ascii="Arial" w:eastAsia="Calibri" w:hAnsi="Arial" w:cs="Arial"/>
          <w:sz w:val="22"/>
          <w:szCs w:val="22"/>
        </w:rPr>
        <w:t xml:space="preserve"> </w:t>
      </w:r>
      <w:bookmarkEnd w:id="1"/>
      <w:bookmarkEnd w:id="2"/>
      <w:r w:rsidRPr="00FF06E0">
        <w:rPr>
          <w:rFonts w:ascii="Arial" w:eastAsia="Calibri" w:hAnsi="Arial" w:cs="Arial"/>
          <w:sz w:val="22"/>
          <w:szCs w:val="22"/>
        </w:rPr>
        <w:t xml:space="preserve">which </w:t>
      </w:r>
      <w:r w:rsidRPr="00FF06E0">
        <w:rPr>
          <w:rFonts w:ascii="Arial" w:eastAsia="Calibri" w:hAnsi="Arial" w:cs="Arial"/>
          <w:color w:val="000000"/>
          <w:sz w:val="22"/>
          <w:szCs w:val="22"/>
        </w:rPr>
        <w:t xml:space="preserve">results in a total SANG contribution of </w:t>
      </w:r>
      <w:r w:rsidRPr="00FF06E0">
        <w:rPr>
          <w:rFonts w:ascii="Arial" w:eastAsia="Calibri" w:hAnsi="Arial" w:cs="Arial"/>
          <w:b/>
          <w:color w:val="000000"/>
          <w:sz w:val="22"/>
          <w:szCs w:val="22"/>
        </w:rPr>
        <w:t>£</w:t>
      </w:r>
      <w:r>
        <w:rPr>
          <w:rFonts w:ascii="Arial" w:eastAsia="Calibri" w:hAnsi="Arial" w:cs="Arial"/>
          <w:b/>
          <w:color w:val="000000"/>
          <w:sz w:val="22"/>
          <w:szCs w:val="22"/>
        </w:rPr>
        <w:t>69,413</w:t>
      </w:r>
      <w:r w:rsidRPr="00FF06E0">
        <w:rPr>
          <w:rFonts w:ascii="Arial" w:eastAsia="Calibri" w:hAnsi="Arial" w:cs="Arial"/>
          <w:b/>
          <w:color w:val="000000"/>
          <w:sz w:val="22"/>
          <w:szCs w:val="22"/>
        </w:rPr>
        <w:t>.</w:t>
      </w:r>
      <w:r w:rsidRPr="00FF06E0">
        <w:rPr>
          <w:rFonts w:ascii="Arial" w:eastAsia="Calibri" w:hAnsi="Arial" w:cs="Arial"/>
          <w:color w:val="000000"/>
          <w:sz w:val="22"/>
          <w:szCs w:val="22"/>
        </w:rPr>
        <w:t xml:space="preserve"> </w:t>
      </w:r>
    </w:p>
    <w:p w14:paraId="73392CBF" w14:textId="77777777" w:rsidR="00FF06E0" w:rsidRPr="00FF06E0" w:rsidRDefault="00FF06E0" w:rsidP="00FF06E0">
      <w:pPr>
        <w:autoSpaceDE/>
        <w:autoSpaceDN/>
        <w:rPr>
          <w:rFonts w:ascii="Arial" w:eastAsia="Calibri" w:hAnsi="Arial" w:cs="Arial"/>
          <w:color w:val="000000"/>
          <w:sz w:val="22"/>
          <w:szCs w:val="22"/>
        </w:rPr>
      </w:pPr>
    </w:p>
    <w:p w14:paraId="7376984A" w14:textId="13B03C3E" w:rsidR="00FF06E0" w:rsidRPr="00FF06E0" w:rsidRDefault="00FF06E0" w:rsidP="00FF06E0">
      <w:pPr>
        <w:autoSpaceDE/>
        <w:autoSpaceDN/>
        <w:rPr>
          <w:rFonts w:ascii="Arial" w:eastAsia="Calibri" w:hAnsi="Arial" w:cs="Arial"/>
          <w:color w:val="000000"/>
          <w:sz w:val="22"/>
          <w:szCs w:val="22"/>
        </w:rPr>
      </w:pPr>
      <w:r w:rsidRPr="00FF06E0">
        <w:rPr>
          <w:rFonts w:ascii="Arial" w:eastAsia="Calibri" w:hAnsi="Arial" w:cs="Arial"/>
          <w:color w:val="000000"/>
          <w:sz w:val="22"/>
          <w:szCs w:val="22"/>
        </w:rPr>
        <w:t xml:space="preserve">The development is required to </w:t>
      </w:r>
      <w:proofErr w:type="gramStart"/>
      <w:r w:rsidRPr="00FF06E0">
        <w:rPr>
          <w:rFonts w:ascii="Arial" w:eastAsia="Calibri" w:hAnsi="Arial" w:cs="Arial"/>
          <w:color w:val="000000"/>
          <w:sz w:val="22"/>
          <w:szCs w:val="22"/>
        </w:rPr>
        <w:t>make a contribution</w:t>
      </w:r>
      <w:proofErr w:type="gramEnd"/>
      <w:r w:rsidRPr="00FF06E0">
        <w:rPr>
          <w:rFonts w:ascii="Arial" w:eastAsia="Calibri" w:hAnsi="Arial" w:cs="Arial"/>
          <w:color w:val="000000"/>
          <w:sz w:val="22"/>
          <w:szCs w:val="22"/>
        </w:rPr>
        <w:t xml:space="preserve"> towards Strategic Access Management and Monitoring (SAMM) which will is also calculated on a per bedroom basis. Taking account of the per bedroom contributions this results in a total SAMM contribution of </w:t>
      </w:r>
      <w:r w:rsidRPr="00FF06E0">
        <w:rPr>
          <w:rFonts w:ascii="Arial" w:eastAsia="Calibri" w:hAnsi="Arial" w:cs="Arial"/>
          <w:b/>
          <w:color w:val="000000"/>
          <w:sz w:val="22"/>
          <w:szCs w:val="22"/>
        </w:rPr>
        <w:t>£</w:t>
      </w:r>
      <w:r>
        <w:rPr>
          <w:rFonts w:ascii="Arial" w:eastAsia="Calibri" w:hAnsi="Arial" w:cs="Arial"/>
          <w:b/>
          <w:color w:val="000000"/>
          <w:sz w:val="22"/>
          <w:szCs w:val="22"/>
        </w:rPr>
        <w:t>6,798</w:t>
      </w:r>
      <w:r w:rsidRPr="00FF06E0">
        <w:rPr>
          <w:rFonts w:ascii="Arial" w:eastAsia="Calibri" w:hAnsi="Arial" w:cs="Arial"/>
          <w:b/>
          <w:color w:val="000000"/>
          <w:sz w:val="22"/>
          <w:szCs w:val="22"/>
        </w:rPr>
        <w:t>.</w:t>
      </w:r>
    </w:p>
    <w:p w14:paraId="27BD474B" w14:textId="77777777" w:rsidR="00FF06E0" w:rsidRPr="00FF06E0" w:rsidRDefault="00FF06E0" w:rsidP="00FF06E0">
      <w:pPr>
        <w:autoSpaceDE/>
        <w:autoSpaceDN/>
        <w:rPr>
          <w:rFonts w:ascii="Arial" w:eastAsia="Calibri" w:hAnsi="Arial" w:cs="Arial"/>
          <w:color w:val="000000"/>
          <w:sz w:val="22"/>
          <w:szCs w:val="22"/>
        </w:rPr>
      </w:pPr>
    </w:p>
    <w:p w14:paraId="2364DE31" w14:textId="4BE57E40" w:rsidR="00FF06E0" w:rsidRPr="00FF06E0" w:rsidRDefault="00FF06E0" w:rsidP="00FF06E0">
      <w:pPr>
        <w:autoSpaceDE/>
        <w:autoSpaceDN/>
        <w:rPr>
          <w:rFonts w:ascii="Arial" w:eastAsia="Calibri" w:hAnsi="Arial" w:cs="Arial"/>
          <w:color w:val="000000"/>
          <w:sz w:val="22"/>
          <w:szCs w:val="22"/>
        </w:rPr>
      </w:pPr>
      <w:r w:rsidRPr="00FF06E0">
        <w:rPr>
          <w:rFonts w:ascii="Arial" w:eastAsia="Calibri" w:hAnsi="Arial" w:cs="Arial"/>
          <w:color w:val="000000"/>
          <w:sz w:val="22"/>
          <w:szCs w:val="22"/>
        </w:rPr>
        <w:t xml:space="preserve">The total SPA related financial contribution for this proposal is </w:t>
      </w:r>
      <w:r w:rsidRPr="00FF06E0">
        <w:rPr>
          <w:rFonts w:ascii="Arial" w:eastAsia="Calibri" w:hAnsi="Arial" w:cs="Arial"/>
          <w:b/>
          <w:color w:val="000000"/>
          <w:sz w:val="22"/>
          <w:szCs w:val="22"/>
        </w:rPr>
        <w:t>£</w:t>
      </w:r>
      <w:r>
        <w:rPr>
          <w:rFonts w:ascii="Arial" w:eastAsia="Calibri" w:hAnsi="Arial" w:cs="Arial"/>
          <w:b/>
          <w:color w:val="000000"/>
          <w:sz w:val="22"/>
          <w:szCs w:val="22"/>
        </w:rPr>
        <w:t>76,211</w:t>
      </w:r>
      <w:r w:rsidRPr="00FF06E0">
        <w:rPr>
          <w:rFonts w:ascii="Arial" w:eastAsia="Calibri" w:hAnsi="Arial" w:cs="Arial"/>
          <w:b/>
          <w:color w:val="000000"/>
          <w:sz w:val="22"/>
          <w:szCs w:val="22"/>
        </w:rPr>
        <w:t xml:space="preserve">.  </w:t>
      </w:r>
      <w:r w:rsidRPr="00FF06E0">
        <w:rPr>
          <w:rFonts w:ascii="Arial" w:eastAsia="Calibri" w:hAnsi="Arial" w:cs="Arial"/>
          <w:color w:val="000000"/>
          <w:sz w:val="22"/>
          <w:szCs w:val="22"/>
        </w:rPr>
        <w:t xml:space="preserve">The applicant </w:t>
      </w:r>
      <w:r w:rsidRPr="00FF06E0">
        <w:rPr>
          <w:rFonts w:ascii="Arial" w:eastAsia="Calibri" w:hAnsi="Arial" w:cs="Arial"/>
          <w:b/>
          <w:color w:val="000000"/>
          <w:sz w:val="22"/>
          <w:szCs w:val="22"/>
        </w:rPr>
        <w:t>must agree</w:t>
      </w:r>
      <w:r w:rsidRPr="00FF06E0">
        <w:rPr>
          <w:rFonts w:ascii="Arial" w:eastAsia="Calibri" w:hAnsi="Arial" w:cs="Arial"/>
          <w:color w:val="000000"/>
          <w:sz w:val="22"/>
          <w:szCs w:val="22"/>
        </w:rPr>
        <w:t xml:space="preserve"> to </w:t>
      </w:r>
      <w:proofErr w:type="gramStart"/>
      <w:r w:rsidRPr="00FF06E0">
        <w:rPr>
          <w:rFonts w:ascii="Arial" w:eastAsia="Calibri" w:hAnsi="Arial" w:cs="Arial"/>
          <w:color w:val="000000"/>
          <w:sz w:val="22"/>
          <w:szCs w:val="22"/>
        </w:rPr>
        <w:t>enter into</w:t>
      </w:r>
      <w:proofErr w:type="gramEnd"/>
      <w:r w:rsidRPr="00FF06E0">
        <w:rPr>
          <w:rFonts w:ascii="Arial" w:eastAsia="Calibri" w:hAnsi="Arial" w:cs="Arial"/>
          <w:color w:val="000000"/>
          <w:sz w:val="22"/>
          <w:szCs w:val="22"/>
        </w:rPr>
        <w:t xml:space="preserve"> a S106 agreement to secure this contribution and a restriction on the occupation of each dwelling until the Council has confirmed that open space enhancement works to a SANG is completed. Subject to the completion of the S106 agreement, the proposal would not lead to an adverse effect on the integrity of the SPA and would comply with SEP Saved Policy NRM6, Saved policy EN3 of the BFBLP and CS14 of CSDPD, the Thames Basin Heaths Special Protection Area SPD and the NPPF.</w:t>
      </w:r>
    </w:p>
    <w:p w14:paraId="6FACBE63" w14:textId="77777777" w:rsidR="00FF06E0" w:rsidRPr="00D86986" w:rsidRDefault="00FF06E0" w:rsidP="00FF06E0">
      <w:pPr>
        <w:autoSpaceDE/>
        <w:autoSpaceDN/>
        <w:rPr>
          <w:rFonts w:ascii="Arial" w:eastAsia="Calibri" w:hAnsi="Arial" w:cs="Arial"/>
          <w:sz w:val="22"/>
          <w:szCs w:val="22"/>
        </w:rPr>
      </w:pPr>
    </w:p>
    <w:p w14:paraId="5110CBD5" w14:textId="77777777" w:rsidR="00FF06E0" w:rsidRPr="00D86986" w:rsidRDefault="00FF06E0" w:rsidP="00FF06E0">
      <w:pPr>
        <w:autoSpaceDE/>
        <w:autoSpaceDN/>
        <w:rPr>
          <w:rFonts w:ascii="Arial" w:eastAsia="Calibri" w:hAnsi="Arial" w:cs="Arial"/>
          <w:b/>
          <w:sz w:val="22"/>
          <w:szCs w:val="22"/>
        </w:rPr>
      </w:pPr>
      <w:r w:rsidRPr="00D86986">
        <w:rPr>
          <w:rFonts w:ascii="Arial" w:eastAsia="Calibri" w:hAnsi="Arial" w:cs="Arial"/>
          <w:b/>
          <w:sz w:val="22"/>
          <w:szCs w:val="22"/>
          <w:u w:val="single"/>
        </w:rPr>
        <w:t>1.</w:t>
      </w:r>
      <w:r w:rsidRPr="00D86986">
        <w:rPr>
          <w:rFonts w:ascii="Arial" w:eastAsia="Calibri" w:hAnsi="Arial" w:cs="Arial"/>
          <w:b/>
          <w:sz w:val="22"/>
          <w:szCs w:val="22"/>
        </w:rPr>
        <w:t xml:space="preserve"> </w:t>
      </w:r>
      <w:r w:rsidRPr="00D86986">
        <w:rPr>
          <w:rFonts w:ascii="Arial" w:eastAsia="Calibri" w:hAnsi="Arial" w:cs="Arial"/>
          <w:b/>
          <w:sz w:val="22"/>
          <w:szCs w:val="22"/>
          <w:u w:val="single"/>
        </w:rPr>
        <w:t>The Conservation of Habitats and Species Regulations (2017 as amended)</w:t>
      </w:r>
    </w:p>
    <w:p w14:paraId="0C688B90" w14:textId="77777777" w:rsidR="00FF06E0" w:rsidRPr="00D86986" w:rsidRDefault="00FF06E0" w:rsidP="00FF06E0">
      <w:pPr>
        <w:autoSpaceDE/>
        <w:autoSpaceDN/>
        <w:rPr>
          <w:rFonts w:ascii="Arial" w:eastAsia="Calibri" w:hAnsi="Arial" w:cs="Arial"/>
          <w:sz w:val="22"/>
          <w:szCs w:val="22"/>
        </w:rPr>
      </w:pPr>
    </w:p>
    <w:p w14:paraId="21BEDD58"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In accordance with The Conservation of Habitats and Species Regulations (2017 as amended) Regulation 63 a competent authority (in this case Bracknell Forest Council (BFC)), before deciding to undertake, or give any consent, permission or other authorisation for, a plan or project which— </w:t>
      </w:r>
    </w:p>
    <w:p w14:paraId="323E3E21" w14:textId="77777777" w:rsidR="00FF06E0" w:rsidRPr="00D86986" w:rsidRDefault="00FF06E0" w:rsidP="00FF06E0">
      <w:pPr>
        <w:autoSpaceDE/>
        <w:autoSpaceDN/>
        <w:rPr>
          <w:rFonts w:ascii="Arial" w:eastAsia="Calibri" w:hAnsi="Arial" w:cs="Arial"/>
          <w:sz w:val="22"/>
          <w:szCs w:val="22"/>
        </w:rPr>
      </w:pPr>
    </w:p>
    <w:p w14:paraId="18E24491" w14:textId="77777777" w:rsidR="00FF06E0" w:rsidRPr="00D86986" w:rsidRDefault="00FF06E0" w:rsidP="00FF06E0">
      <w:pPr>
        <w:numPr>
          <w:ilvl w:val="0"/>
          <w:numId w:val="2"/>
        </w:numPr>
        <w:autoSpaceDE/>
        <w:autoSpaceDN/>
        <w:ind w:left="357" w:hanging="357"/>
        <w:rPr>
          <w:rFonts w:ascii="Arial" w:eastAsia="Calibri" w:hAnsi="Arial" w:cs="Arial"/>
          <w:sz w:val="22"/>
          <w:szCs w:val="22"/>
        </w:rPr>
      </w:pPr>
      <w:r w:rsidRPr="00D86986">
        <w:rPr>
          <w:rFonts w:ascii="Arial" w:eastAsia="Calibri" w:hAnsi="Arial" w:cs="Arial"/>
          <w:sz w:val="22"/>
          <w:szCs w:val="22"/>
        </w:rPr>
        <w:t>is likely to have a significant effect on a European site</w:t>
      </w:r>
      <w:proofErr w:type="gramStart"/>
      <w:r w:rsidRPr="00D86986">
        <w:rPr>
          <w:rFonts w:ascii="Arial" w:eastAsia="Calibri" w:hAnsi="Arial" w:cs="Arial"/>
          <w:sz w:val="22"/>
          <w:szCs w:val="22"/>
        </w:rPr>
        <w:t>…(</w:t>
      </w:r>
      <w:proofErr w:type="gramEnd"/>
      <w:r w:rsidRPr="00D86986">
        <w:rPr>
          <w:rFonts w:ascii="Arial" w:eastAsia="Calibri" w:hAnsi="Arial" w:cs="Arial"/>
          <w:sz w:val="22"/>
          <w:szCs w:val="22"/>
        </w:rPr>
        <w:t>either alone or in combination with other plans or projects), and</w:t>
      </w:r>
    </w:p>
    <w:p w14:paraId="3B6D3A94" w14:textId="77777777" w:rsidR="00FF06E0" w:rsidRPr="00D86986" w:rsidRDefault="00FF06E0" w:rsidP="00FF06E0">
      <w:pPr>
        <w:numPr>
          <w:ilvl w:val="0"/>
          <w:numId w:val="2"/>
        </w:numPr>
        <w:autoSpaceDE/>
        <w:autoSpaceDN/>
        <w:ind w:left="357" w:hanging="357"/>
        <w:rPr>
          <w:rFonts w:ascii="Arial" w:eastAsia="Calibri" w:hAnsi="Arial" w:cs="Arial"/>
          <w:sz w:val="22"/>
          <w:szCs w:val="22"/>
        </w:rPr>
      </w:pPr>
      <w:r w:rsidRPr="00D86986">
        <w:rPr>
          <w:rFonts w:ascii="Arial" w:eastAsia="Calibri" w:hAnsi="Arial" w:cs="Arial"/>
          <w:sz w:val="22"/>
          <w:szCs w:val="22"/>
        </w:rPr>
        <w:t>is not directly connected with or necessary to the management of that site.</w:t>
      </w:r>
    </w:p>
    <w:p w14:paraId="686D19AD" w14:textId="77777777" w:rsidR="00FF06E0" w:rsidRPr="00D86986" w:rsidRDefault="00FF06E0" w:rsidP="00FF06E0">
      <w:pPr>
        <w:autoSpaceDE/>
        <w:autoSpaceDN/>
        <w:rPr>
          <w:rFonts w:ascii="Arial" w:eastAsia="Calibri" w:hAnsi="Arial" w:cs="Arial"/>
          <w:sz w:val="22"/>
          <w:szCs w:val="22"/>
        </w:rPr>
      </w:pPr>
    </w:p>
    <w:p w14:paraId="3C7F00DA"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must make an appropriate assessment of the implications of the plan or project for that site in view of that site’s conservation objectives.</w:t>
      </w:r>
    </w:p>
    <w:p w14:paraId="6F508076" w14:textId="77777777" w:rsidR="00FF06E0" w:rsidRPr="00D86986" w:rsidRDefault="00FF06E0" w:rsidP="00FF06E0">
      <w:pPr>
        <w:autoSpaceDE/>
        <w:autoSpaceDN/>
        <w:rPr>
          <w:rFonts w:ascii="Arial" w:eastAsia="Calibri" w:hAnsi="Arial" w:cs="Arial"/>
          <w:sz w:val="22"/>
          <w:szCs w:val="22"/>
        </w:rPr>
      </w:pPr>
    </w:p>
    <w:p w14:paraId="7E5D23D4"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A person applying for any such consent, permission or other authorisation must provide such information as BFC may reasonably require for the purposes of the assessment or to enable it to determine whether an appropriate assessment is required.</w:t>
      </w:r>
    </w:p>
    <w:p w14:paraId="56346AAF" w14:textId="77777777" w:rsidR="00FF06E0" w:rsidRPr="00D86986" w:rsidRDefault="00FF06E0" w:rsidP="00FF06E0">
      <w:pPr>
        <w:autoSpaceDE/>
        <w:autoSpaceDN/>
        <w:rPr>
          <w:rFonts w:ascii="Arial" w:eastAsia="Calibri" w:hAnsi="Arial" w:cs="Arial"/>
          <w:sz w:val="22"/>
          <w:szCs w:val="22"/>
        </w:rPr>
      </w:pPr>
    </w:p>
    <w:p w14:paraId="33EDA05B"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BFC must for the purposes of the assessment consult Natural England (NE) and have regard to any representations made by that body.  It must also, if it considers it appropriate, take the opinion of the general public, and if it does so, it must take such steps for that purpose as it considers appropriate. In the light of the conclusions of the assessment, and subject to Regulation 64 (Considerations of overriding public interest), BFC may agree to the plan or project only after having ascertained that it will not adversely affect the integrity of the European site.</w:t>
      </w:r>
    </w:p>
    <w:p w14:paraId="3E2D824C" w14:textId="77777777" w:rsidR="00FF06E0" w:rsidRPr="00D86986" w:rsidRDefault="00FF06E0" w:rsidP="00FF06E0">
      <w:pPr>
        <w:autoSpaceDE/>
        <w:autoSpaceDN/>
        <w:rPr>
          <w:rFonts w:ascii="Arial" w:eastAsia="Calibri" w:hAnsi="Arial" w:cs="Arial"/>
          <w:sz w:val="22"/>
          <w:szCs w:val="22"/>
        </w:rPr>
      </w:pPr>
    </w:p>
    <w:p w14:paraId="72EC8322"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In considering whether a plan or project will adversely affect the integrity of the site, BFC must have regard to the manner in which it is proposed to be carried out or to any conditions or restrictions subject to which it proposes that the consent, permission or other authorisation should be given.</w:t>
      </w:r>
    </w:p>
    <w:p w14:paraId="766FB445" w14:textId="77777777" w:rsidR="00FF06E0" w:rsidRPr="00D86986" w:rsidRDefault="00FF06E0" w:rsidP="00FF06E0">
      <w:pPr>
        <w:autoSpaceDE/>
        <w:autoSpaceDN/>
        <w:rPr>
          <w:rFonts w:ascii="Arial" w:eastAsia="Calibri" w:hAnsi="Arial" w:cs="Arial"/>
          <w:sz w:val="22"/>
          <w:szCs w:val="22"/>
        </w:rPr>
      </w:pPr>
    </w:p>
    <w:p w14:paraId="3663C443" w14:textId="77777777" w:rsidR="00FF06E0" w:rsidRPr="00D86986" w:rsidRDefault="00FF06E0" w:rsidP="00FF06E0">
      <w:pPr>
        <w:autoSpaceDE/>
        <w:autoSpaceDN/>
        <w:rPr>
          <w:rFonts w:ascii="Arial" w:eastAsia="Calibri" w:hAnsi="Arial" w:cs="Arial"/>
          <w:b/>
          <w:color w:val="FF0000"/>
          <w:sz w:val="22"/>
          <w:szCs w:val="22"/>
          <w:u w:val="single"/>
        </w:rPr>
      </w:pPr>
      <w:r w:rsidRPr="00D86986">
        <w:rPr>
          <w:rFonts w:ascii="Arial" w:eastAsia="Calibri" w:hAnsi="Arial" w:cs="Arial"/>
          <w:b/>
          <w:sz w:val="22"/>
          <w:szCs w:val="22"/>
          <w:u w:val="single"/>
        </w:rPr>
        <w:t>2.</w:t>
      </w:r>
      <w:r w:rsidRPr="00D86986">
        <w:rPr>
          <w:rFonts w:ascii="Arial" w:eastAsia="Calibri" w:hAnsi="Arial" w:cs="Arial"/>
          <w:b/>
          <w:sz w:val="22"/>
          <w:szCs w:val="22"/>
        </w:rPr>
        <w:t xml:space="preserve"> </w:t>
      </w:r>
      <w:r w:rsidRPr="00D86986">
        <w:rPr>
          <w:rFonts w:ascii="Arial" w:eastAsia="Calibri" w:hAnsi="Arial" w:cs="Arial"/>
          <w:b/>
          <w:sz w:val="22"/>
          <w:szCs w:val="22"/>
          <w:u w:val="single"/>
        </w:rPr>
        <w:t>Stage 1 Screening for Likely Significant Effects</w:t>
      </w:r>
    </w:p>
    <w:p w14:paraId="2C6D084C" w14:textId="77777777" w:rsidR="00FF06E0" w:rsidRPr="00D86986" w:rsidRDefault="00FF06E0" w:rsidP="00FF06E0">
      <w:pPr>
        <w:autoSpaceDE/>
        <w:autoSpaceDN/>
        <w:rPr>
          <w:rFonts w:ascii="Arial" w:eastAsia="Calibri" w:hAnsi="Arial" w:cs="Arial"/>
          <w:sz w:val="22"/>
          <w:szCs w:val="22"/>
        </w:rPr>
      </w:pPr>
    </w:p>
    <w:p w14:paraId="6DE409CC"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BFC accepts that this proposal is a ‘plan or project’ which is not directly connected with or necessary to the management of a European Site. There are two European Sites partly located within Bracknell Forest – the Thames Basin Heaths Special Protection Area (SPA) and Windsor Forest and Great Park Special Area of Conservation (SAC).  The potential adverse effects on the integrity of both sites include recreational activities from inside the SPA and air pollution from inside and outside the SPA and the SAC.</w:t>
      </w:r>
    </w:p>
    <w:p w14:paraId="6058CE2B" w14:textId="77777777" w:rsidR="00FF06E0" w:rsidRPr="00D86986" w:rsidRDefault="00FF06E0" w:rsidP="00FF06E0">
      <w:pPr>
        <w:autoSpaceDE/>
        <w:autoSpaceDN/>
        <w:rPr>
          <w:rFonts w:ascii="Arial" w:eastAsia="Calibri" w:hAnsi="Arial" w:cs="Arial"/>
          <w:sz w:val="22"/>
          <w:szCs w:val="22"/>
        </w:rPr>
      </w:pPr>
    </w:p>
    <w:p w14:paraId="49EA3996" w14:textId="351C0EEC"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At this stage the Council cannot rule out ‘likely significance effects’ on the SPA and SAC (alone or in combination with other plans or projects) because the proposal could undermine the Conservation Objectives of these sites.  This is because the proposal lies with </w:t>
      </w:r>
      <w:r>
        <w:rPr>
          <w:rFonts w:ascii="Arial" w:eastAsia="Calibri" w:hAnsi="Arial" w:cs="Arial"/>
          <w:b/>
          <w:sz w:val="22"/>
          <w:szCs w:val="22"/>
        </w:rPr>
        <w:t>0.87</w:t>
      </w:r>
      <w:r w:rsidRPr="00D86986">
        <w:rPr>
          <w:rFonts w:ascii="Arial" w:eastAsia="Calibri" w:hAnsi="Arial" w:cs="Arial"/>
          <w:b/>
          <w:sz w:val="22"/>
          <w:szCs w:val="22"/>
        </w:rPr>
        <w:t xml:space="preserve"> km</w:t>
      </w:r>
      <w:r w:rsidRPr="00D86986">
        <w:rPr>
          <w:rFonts w:ascii="Arial" w:eastAsia="Calibri" w:hAnsi="Arial" w:cs="Arial"/>
          <w:sz w:val="22"/>
          <w:szCs w:val="22"/>
        </w:rPr>
        <w:t xml:space="preserve"> of the SPA and:</w:t>
      </w:r>
    </w:p>
    <w:p w14:paraId="39B013E6" w14:textId="77777777" w:rsidR="00FF06E0" w:rsidRPr="00D86986" w:rsidRDefault="00FF06E0" w:rsidP="00FF06E0">
      <w:pPr>
        <w:autoSpaceDE/>
        <w:autoSpaceDN/>
        <w:rPr>
          <w:rFonts w:ascii="Arial" w:eastAsia="Calibri" w:hAnsi="Arial" w:cs="Arial"/>
          <w:sz w:val="22"/>
          <w:szCs w:val="22"/>
        </w:rPr>
      </w:pPr>
    </w:p>
    <w:p w14:paraId="32F82151" w14:textId="77777777" w:rsidR="00FF06E0" w:rsidRPr="00D86986" w:rsidRDefault="00FF06E0" w:rsidP="00FF06E0">
      <w:pPr>
        <w:numPr>
          <w:ilvl w:val="0"/>
          <w:numId w:val="3"/>
        </w:numPr>
        <w:autoSpaceDE/>
        <w:autoSpaceDN/>
        <w:ind w:left="357" w:hanging="357"/>
        <w:rPr>
          <w:rFonts w:ascii="Arial" w:eastAsia="Calibri" w:hAnsi="Arial" w:cs="Arial"/>
          <w:sz w:val="22"/>
          <w:szCs w:val="22"/>
        </w:rPr>
      </w:pPr>
      <w:r w:rsidRPr="00D86986">
        <w:rPr>
          <w:rFonts w:ascii="Arial" w:eastAsia="Calibri" w:hAnsi="Arial" w:cs="Arial"/>
          <w:sz w:val="22"/>
          <w:szCs w:val="22"/>
        </w:rPr>
        <w:t>represents a net increase in dwellings within 400m - 5km of the Thames Basin Heaths Special Protection Area (SPA) which will lead to an increase in local population and a potential increase in recreational activity on the SPA</w:t>
      </w:r>
    </w:p>
    <w:p w14:paraId="7422F431" w14:textId="77777777" w:rsidR="00FF06E0" w:rsidRPr="00D86986" w:rsidRDefault="00FF06E0" w:rsidP="00FF06E0">
      <w:pPr>
        <w:numPr>
          <w:ilvl w:val="0"/>
          <w:numId w:val="3"/>
        </w:numPr>
        <w:autoSpaceDE/>
        <w:autoSpaceDN/>
        <w:ind w:left="357" w:hanging="357"/>
        <w:rPr>
          <w:rFonts w:ascii="Arial" w:eastAsia="Calibri" w:hAnsi="Arial" w:cs="Arial"/>
          <w:sz w:val="22"/>
          <w:szCs w:val="22"/>
        </w:rPr>
      </w:pPr>
      <w:r w:rsidRPr="00D86986">
        <w:rPr>
          <w:rFonts w:ascii="Arial" w:eastAsia="Calibri" w:hAnsi="Arial" w:cs="Arial"/>
          <w:sz w:val="22"/>
          <w:szCs w:val="22"/>
        </w:rPr>
        <w:t>may lead to an increase in traffic movements (and therefore air pollution) on roads within 200m of the SPA and SAC</w:t>
      </w:r>
    </w:p>
    <w:p w14:paraId="7BFEFED9" w14:textId="77777777" w:rsidR="00FF06E0" w:rsidRPr="00D86986" w:rsidRDefault="00FF06E0" w:rsidP="00FF06E0">
      <w:pPr>
        <w:autoSpaceDE/>
        <w:autoSpaceDN/>
        <w:rPr>
          <w:rFonts w:ascii="Arial" w:eastAsia="Calibri" w:hAnsi="Arial" w:cs="Arial"/>
          <w:sz w:val="22"/>
          <w:szCs w:val="22"/>
        </w:rPr>
      </w:pPr>
    </w:p>
    <w:p w14:paraId="0083BF33"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lastRenderedPageBreak/>
        <w:t>As the ‘likely significance effects’ cannot be ruled out at this stage an Appropriate Assessment must be undertaken.</w:t>
      </w:r>
    </w:p>
    <w:p w14:paraId="594ABE73" w14:textId="77777777" w:rsidR="00FF06E0" w:rsidRPr="00D86986" w:rsidRDefault="00FF06E0" w:rsidP="00FF06E0">
      <w:pPr>
        <w:autoSpaceDE/>
        <w:autoSpaceDN/>
        <w:rPr>
          <w:rFonts w:ascii="Arial" w:eastAsia="Calibri" w:hAnsi="Arial" w:cs="Arial"/>
          <w:sz w:val="22"/>
          <w:szCs w:val="22"/>
        </w:rPr>
      </w:pPr>
    </w:p>
    <w:p w14:paraId="23792117" w14:textId="77777777" w:rsidR="00FF06E0" w:rsidRPr="00D86986" w:rsidRDefault="00FF06E0" w:rsidP="00FF06E0">
      <w:pPr>
        <w:autoSpaceDE/>
        <w:autoSpaceDN/>
        <w:rPr>
          <w:rFonts w:ascii="Arial" w:eastAsia="Calibri" w:hAnsi="Arial" w:cs="Arial"/>
          <w:b/>
          <w:sz w:val="22"/>
          <w:szCs w:val="22"/>
          <w:u w:val="single"/>
        </w:rPr>
      </w:pPr>
      <w:r w:rsidRPr="00D86986">
        <w:rPr>
          <w:rFonts w:ascii="Arial" w:eastAsia="Calibri" w:hAnsi="Arial" w:cs="Arial"/>
          <w:b/>
          <w:sz w:val="22"/>
          <w:szCs w:val="22"/>
          <w:u w:val="single"/>
        </w:rPr>
        <w:t>3.</w:t>
      </w:r>
      <w:r w:rsidRPr="00D86986">
        <w:rPr>
          <w:rFonts w:ascii="Arial" w:eastAsia="Calibri" w:hAnsi="Arial" w:cs="Arial"/>
          <w:b/>
          <w:sz w:val="22"/>
          <w:szCs w:val="22"/>
        </w:rPr>
        <w:t xml:space="preserve"> </w:t>
      </w:r>
      <w:r w:rsidRPr="00D86986">
        <w:rPr>
          <w:rFonts w:ascii="Arial" w:eastAsia="Calibri" w:hAnsi="Arial" w:cs="Arial"/>
          <w:b/>
          <w:sz w:val="22"/>
          <w:szCs w:val="22"/>
          <w:u w:val="single"/>
        </w:rPr>
        <w:t>Stage 2 Appropriate Assessment</w:t>
      </w:r>
    </w:p>
    <w:p w14:paraId="78F73017" w14:textId="77777777" w:rsidR="00FF06E0" w:rsidRPr="00D86986" w:rsidRDefault="00FF06E0" w:rsidP="00FF06E0">
      <w:pPr>
        <w:autoSpaceDE/>
        <w:autoSpaceDN/>
        <w:rPr>
          <w:rFonts w:ascii="Arial" w:eastAsia="Calibri" w:hAnsi="Arial" w:cs="Arial"/>
          <w:sz w:val="22"/>
          <w:szCs w:val="22"/>
        </w:rPr>
      </w:pPr>
    </w:p>
    <w:p w14:paraId="3DFCE029"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Based on the information provided by the applicant, BFC must decide </w:t>
      </w:r>
      <w:proofErr w:type="gramStart"/>
      <w:r w:rsidRPr="00D86986">
        <w:rPr>
          <w:rFonts w:ascii="Arial" w:eastAsia="Calibri" w:hAnsi="Arial" w:cs="Arial"/>
          <w:sz w:val="22"/>
          <w:szCs w:val="22"/>
        </w:rPr>
        <w:t>whether or not</w:t>
      </w:r>
      <w:proofErr w:type="gramEnd"/>
      <w:r w:rsidRPr="00D86986">
        <w:rPr>
          <w:rFonts w:ascii="Arial" w:eastAsia="Calibri" w:hAnsi="Arial" w:cs="Arial"/>
          <w:sz w:val="22"/>
          <w:szCs w:val="22"/>
        </w:rPr>
        <w:t xml:space="preserve"> an adverse effect on site integrity (alone or in combination with other plans or projects) can be ruled out.  Mitigation may be able to be provided so that the proposal is altered to avoid or reduce impacts.</w:t>
      </w:r>
    </w:p>
    <w:p w14:paraId="29305DD6" w14:textId="77777777" w:rsidR="00FF06E0" w:rsidRPr="00D86986" w:rsidRDefault="00FF06E0" w:rsidP="00FF06E0">
      <w:pPr>
        <w:autoSpaceDE/>
        <w:autoSpaceDN/>
        <w:rPr>
          <w:rFonts w:ascii="Arial" w:eastAsia="Calibri" w:hAnsi="Arial" w:cs="Arial"/>
          <w:sz w:val="22"/>
          <w:szCs w:val="22"/>
        </w:rPr>
      </w:pPr>
    </w:p>
    <w:p w14:paraId="3F8CA585"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The policies and guidance in section 3a below set out the Councils approach to avoidance and mitigation measures which have been agreed with NE.  For </w:t>
      </w:r>
      <w:proofErr w:type="gramStart"/>
      <w:r w:rsidRPr="00D86986">
        <w:rPr>
          <w:rFonts w:ascii="Arial" w:eastAsia="Calibri" w:hAnsi="Arial" w:cs="Arial"/>
          <w:sz w:val="22"/>
          <w:szCs w:val="22"/>
        </w:rPr>
        <w:t>the majority of</w:t>
      </w:r>
      <w:proofErr w:type="gramEnd"/>
      <w:r w:rsidRPr="00D86986">
        <w:rPr>
          <w:rFonts w:ascii="Arial" w:eastAsia="Calibri" w:hAnsi="Arial" w:cs="Arial"/>
          <w:sz w:val="22"/>
          <w:szCs w:val="22"/>
        </w:rPr>
        <w:t xml:space="preserve"> housing developments this will comprise the provision of (or contribution towards) Suitable Alternative Natural Greenspace (SANG) and a contribution towards the Strategic Access Management and Monitoring (SAMM) Project.   Larger developments with a net increase of over 50 houses which are not allocated sites will be asked to provide more information on the likely significant effects of the proposal on European Sites as a result of air quality so that the Council can undertake the Appropriate Assessment.  Further guidance can be provided on this.  However, there is currently no requirement for air quality mitigation measures for </w:t>
      </w:r>
      <w:proofErr w:type="gramStart"/>
      <w:r w:rsidRPr="00D86986">
        <w:rPr>
          <w:rFonts w:ascii="Arial" w:eastAsia="Calibri" w:hAnsi="Arial" w:cs="Arial"/>
          <w:sz w:val="22"/>
          <w:szCs w:val="22"/>
        </w:rPr>
        <w:t>the majority of</w:t>
      </w:r>
      <w:proofErr w:type="gramEnd"/>
      <w:r w:rsidRPr="00D86986">
        <w:rPr>
          <w:rFonts w:ascii="Arial" w:eastAsia="Calibri" w:hAnsi="Arial" w:cs="Arial"/>
          <w:sz w:val="22"/>
          <w:szCs w:val="22"/>
        </w:rPr>
        <w:t xml:space="preserve"> housing developments based the following evidence: </w:t>
      </w:r>
    </w:p>
    <w:p w14:paraId="11B6C3CC" w14:textId="77777777" w:rsidR="00FF06E0" w:rsidRPr="00D86986" w:rsidRDefault="00FF06E0" w:rsidP="00FF06E0">
      <w:pPr>
        <w:autoSpaceDE/>
        <w:autoSpaceDN/>
        <w:rPr>
          <w:rFonts w:ascii="Arial" w:eastAsia="Calibri" w:hAnsi="Arial" w:cs="Arial"/>
          <w:sz w:val="22"/>
          <w:szCs w:val="22"/>
        </w:rPr>
      </w:pPr>
    </w:p>
    <w:p w14:paraId="2B8232D7" w14:textId="77777777" w:rsidR="00FF06E0" w:rsidRPr="00D86986" w:rsidRDefault="00FF06E0" w:rsidP="00FF06E0">
      <w:pPr>
        <w:numPr>
          <w:ilvl w:val="0"/>
          <w:numId w:val="4"/>
        </w:numPr>
        <w:autoSpaceDE/>
        <w:autoSpaceDN/>
        <w:spacing w:after="120"/>
        <w:ind w:left="714" w:hanging="357"/>
        <w:rPr>
          <w:rFonts w:ascii="Arial" w:eastAsia="Calibri" w:hAnsi="Arial" w:cs="Arial"/>
          <w:sz w:val="22"/>
          <w:szCs w:val="22"/>
        </w:rPr>
      </w:pPr>
      <w:r w:rsidRPr="00D86986">
        <w:rPr>
          <w:rFonts w:ascii="Arial" w:eastAsia="Calibri" w:hAnsi="Arial" w:cs="Arial"/>
          <w:sz w:val="22"/>
          <w:szCs w:val="22"/>
        </w:rPr>
        <w:t>In November 2011, the Council undertook an air quality assessment (which took account of background growth) to assess the likely significant effects of the Site Allocations Local Plan (Habitats Regulations Appropriate Assessment Site Allocations Local Plan Draft Submission November 2011)</w:t>
      </w:r>
      <w:r w:rsidRPr="00FF06E0">
        <w:rPr>
          <w:rFonts w:ascii="Calibri" w:eastAsia="Calibri" w:hAnsi="Calibri"/>
          <w:sz w:val="22"/>
          <w:szCs w:val="22"/>
        </w:rPr>
        <w:t xml:space="preserve"> </w:t>
      </w:r>
      <w:r w:rsidRPr="00D86986">
        <w:rPr>
          <w:rFonts w:ascii="Arial" w:eastAsia="Calibri" w:hAnsi="Arial" w:cs="Arial"/>
          <w:sz w:val="22"/>
          <w:szCs w:val="22"/>
        </w:rPr>
        <w:t xml:space="preserve">on the Thames Basin Heaths SPA.  As a result of this assessment the allocations at Transport Research Laboratory and Broadmoor were required to undertake more detailed air quality assessments at the planning application stage and this has been carried out.  No likely significant air pollution effects on the SPA were identified and this was agreed with NE.  </w:t>
      </w:r>
    </w:p>
    <w:p w14:paraId="3CE531C1" w14:textId="77777777" w:rsidR="00FF06E0" w:rsidRPr="00D86986" w:rsidRDefault="00FF06E0" w:rsidP="00FF06E0">
      <w:pPr>
        <w:numPr>
          <w:ilvl w:val="0"/>
          <w:numId w:val="4"/>
        </w:numPr>
        <w:autoSpaceDE/>
        <w:autoSpaceDN/>
        <w:spacing w:after="120"/>
        <w:ind w:left="714" w:hanging="357"/>
        <w:rPr>
          <w:rFonts w:ascii="Arial" w:eastAsia="Calibri" w:hAnsi="Arial" w:cs="Arial"/>
          <w:sz w:val="22"/>
          <w:szCs w:val="22"/>
        </w:rPr>
      </w:pPr>
      <w:r w:rsidRPr="00D86986">
        <w:rPr>
          <w:rFonts w:ascii="Arial" w:eastAsia="Calibri" w:hAnsi="Arial" w:cs="Arial"/>
          <w:sz w:val="22"/>
          <w:szCs w:val="22"/>
        </w:rPr>
        <w:t xml:space="preserve">In March 2017, a high court judgement (Wealden District Council v. Secretary of State for Communities and Local Government, Lewes District Council and South Downs National Park Authority [2017]) quashed part of the Lewes Joint Core Strategy.  This judgement related to the assessment of nitrogen deposition impacts from increased traffic flows on European Sites and the potential for in-combination effects. In January 2018 the Royal Borough of Windsor and Maidenhead (RBWM) carried out a Habitats Regulation and Air Quality Assessment. This takes account of background growth in surrounding boroughs including Bracknell Forest and concludes no likely significant air pollution effects on Windsor Forest and Great Park SAC.  This assessment has also been agreed with NE.  </w:t>
      </w:r>
    </w:p>
    <w:p w14:paraId="3FB2962D" w14:textId="77777777" w:rsidR="00FF06E0" w:rsidRPr="00D86986" w:rsidRDefault="00FF06E0" w:rsidP="00FF06E0">
      <w:pPr>
        <w:numPr>
          <w:ilvl w:val="0"/>
          <w:numId w:val="5"/>
        </w:numPr>
        <w:autoSpaceDE/>
        <w:autoSpaceDN/>
        <w:spacing w:after="120"/>
        <w:ind w:left="714" w:hanging="357"/>
        <w:rPr>
          <w:rFonts w:ascii="Arial" w:eastAsia="Calibri" w:hAnsi="Arial" w:cs="Arial"/>
          <w:sz w:val="22"/>
          <w:szCs w:val="22"/>
        </w:rPr>
      </w:pPr>
      <w:r w:rsidRPr="00D86986">
        <w:rPr>
          <w:rFonts w:ascii="Arial" w:eastAsia="Calibri" w:hAnsi="Arial" w:cs="Arial"/>
          <w:sz w:val="22"/>
          <w:szCs w:val="22"/>
        </w:rPr>
        <w:t xml:space="preserve">In March 2020, RBWM published its updated Habitats Regulations Assessment and Air Quality Assessment </w:t>
      </w:r>
      <w:hyperlink r:id="rId13" w:history="1">
        <w:r w:rsidRPr="00D86986">
          <w:rPr>
            <w:rFonts w:ascii="Arial" w:eastAsia="Calibri" w:hAnsi="Arial" w:cs="Arial"/>
            <w:color w:val="0000FF"/>
            <w:sz w:val="22"/>
            <w:szCs w:val="22"/>
            <w:u w:val="single"/>
          </w:rPr>
          <w:t>https://www3.rbwm.gov.uk/info/201048/evidence_base_and_monitoring/592/evidence_base</w:t>
        </w:r>
      </w:hyperlink>
      <w:r w:rsidRPr="00D86986">
        <w:rPr>
          <w:rFonts w:ascii="Arial" w:eastAsia="Calibri" w:hAnsi="Arial" w:cs="Arial"/>
          <w:sz w:val="22"/>
          <w:szCs w:val="22"/>
        </w:rPr>
        <w:t xml:space="preserve"> Five European Sites were included in the assessment (including the Thames Basin Heaths SPA and Windsor Forest and Great Park SAC). The conclusions were that there will be no adverse impact on site integrity at any European Site alone or in combination with other plans and projects (including in Bracknell Forest) due to changes in air quality.</w:t>
      </w:r>
    </w:p>
    <w:p w14:paraId="413806C0" w14:textId="77777777" w:rsidR="00FF06E0" w:rsidRPr="00D86986" w:rsidRDefault="00FF06E0" w:rsidP="00FF06E0">
      <w:pPr>
        <w:autoSpaceDE/>
        <w:autoSpaceDN/>
        <w:rPr>
          <w:rFonts w:ascii="Arial" w:eastAsia="Calibri" w:hAnsi="Arial" w:cs="Arial"/>
          <w:sz w:val="22"/>
          <w:szCs w:val="22"/>
        </w:rPr>
      </w:pPr>
    </w:p>
    <w:p w14:paraId="1D67DBC1"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a. </w:t>
      </w:r>
      <w:r w:rsidRPr="00D86986">
        <w:rPr>
          <w:rFonts w:ascii="Arial" w:eastAsia="Calibri" w:hAnsi="Arial" w:cs="Arial"/>
          <w:sz w:val="22"/>
          <w:szCs w:val="22"/>
          <w:u w:val="single"/>
        </w:rPr>
        <w:t>Policies and Guidance</w:t>
      </w:r>
      <w:r w:rsidRPr="00D86986">
        <w:rPr>
          <w:rFonts w:ascii="Arial" w:eastAsia="Calibri" w:hAnsi="Arial" w:cs="Arial"/>
          <w:sz w:val="22"/>
          <w:szCs w:val="22"/>
        </w:rPr>
        <w:t xml:space="preserve"> </w:t>
      </w:r>
    </w:p>
    <w:p w14:paraId="34663316" w14:textId="77777777" w:rsidR="00FF06E0" w:rsidRPr="00D86986" w:rsidRDefault="00FF06E0" w:rsidP="00FF06E0">
      <w:pPr>
        <w:autoSpaceDE/>
        <w:autoSpaceDN/>
        <w:rPr>
          <w:rFonts w:ascii="Arial" w:eastAsia="Calibri" w:hAnsi="Arial" w:cs="Arial"/>
          <w:sz w:val="22"/>
          <w:szCs w:val="22"/>
        </w:rPr>
      </w:pPr>
    </w:p>
    <w:p w14:paraId="4FC2A0C4"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For this proposal the following guidance and policies apply:</w:t>
      </w:r>
    </w:p>
    <w:p w14:paraId="789E6DDE" w14:textId="77777777" w:rsidR="00FF06E0" w:rsidRPr="00D86986" w:rsidRDefault="00FF06E0" w:rsidP="00FF06E0">
      <w:pPr>
        <w:autoSpaceDE/>
        <w:autoSpaceDN/>
        <w:rPr>
          <w:rFonts w:ascii="Arial" w:eastAsia="Calibri" w:hAnsi="Arial" w:cs="Arial"/>
          <w:sz w:val="22"/>
          <w:szCs w:val="22"/>
        </w:rPr>
      </w:pPr>
    </w:p>
    <w:p w14:paraId="70E9E8B6" w14:textId="77777777" w:rsidR="00FF06E0" w:rsidRPr="00D86986" w:rsidRDefault="00FF06E0" w:rsidP="00FF06E0">
      <w:pPr>
        <w:numPr>
          <w:ilvl w:val="0"/>
          <w:numId w:val="1"/>
        </w:numPr>
        <w:tabs>
          <w:tab w:val="num" w:pos="1077"/>
        </w:tabs>
        <w:autoSpaceDE/>
        <w:autoSpaceDN/>
        <w:ind w:left="357" w:hanging="357"/>
        <w:rPr>
          <w:rFonts w:ascii="Arial" w:eastAsia="Calibri" w:hAnsi="Arial" w:cs="Arial"/>
          <w:sz w:val="22"/>
          <w:szCs w:val="22"/>
        </w:rPr>
      </w:pPr>
      <w:r w:rsidRPr="00D86986">
        <w:rPr>
          <w:rFonts w:ascii="Arial" w:eastAsia="Calibri" w:hAnsi="Arial" w:cs="Arial"/>
          <w:sz w:val="22"/>
          <w:szCs w:val="22"/>
        </w:rPr>
        <w:t xml:space="preserve">South East Plan (May 2009) Policy NRM6 (Thames Basin Heaths Special Protection Area) </w:t>
      </w:r>
      <w:hyperlink r:id="rId14" w:history="1">
        <w:r w:rsidRPr="00D86986">
          <w:rPr>
            <w:rFonts w:ascii="Arial" w:eastAsia="Calibri" w:hAnsi="Arial" w:cs="Arial"/>
            <w:color w:val="0000FF"/>
            <w:sz w:val="22"/>
            <w:szCs w:val="22"/>
            <w:u w:val="single"/>
          </w:rPr>
          <w:t>https://www.bracknell-forest.gov.uk/planning-and-building-control/planning/planning-policy/development-plan/south-east-plan</w:t>
        </w:r>
      </w:hyperlink>
      <w:r w:rsidRPr="00D86986">
        <w:rPr>
          <w:rFonts w:ascii="Arial" w:eastAsia="Calibri" w:hAnsi="Arial" w:cs="Arial"/>
          <w:sz w:val="22"/>
          <w:szCs w:val="22"/>
        </w:rPr>
        <w:t xml:space="preserve"> </w:t>
      </w:r>
    </w:p>
    <w:p w14:paraId="5891931D" w14:textId="77777777" w:rsidR="00FF06E0" w:rsidRPr="00D86986" w:rsidRDefault="00FF06E0" w:rsidP="00FF06E0">
      <w:pPr>
        <w:numPr>
          <w:ilvl w:val="0"/>
          <w:numId w:val="1"/>
        </w:numPr>
        <w:autoSpaceDE/>
        <w:autoSpaceDN/>
        <w:ind w:left="357" w:hanging="357"/>
        <w:rPr>
          <w:rFonts w:ascii="Arial" w:eastAsia="Calibri" w:hAnsi="Arial" w:cs="Arial"/>
          <w:sz w:val="22"/>
          <w:szCs w:val="22"/>
        </w:rPr>
      </w:pPr>
      <w:r w:rsidRPr="00D86986">
        <w:rPr>
          <w:rFonts w:ascii="Arial" w:eastAsia="Calibri" w:hAnsi="Arial" w:cs="Arial"/>
          <w:sz w:val="22"/>
          <w:szCs w:val="22"/>
        </w:rPr>
        <w:t xml:space="preserve">Bracknell Forest Borough Local Plan (2002) Policy EN3 sets out the approach the Council will take in order to protect European nature conservation sites </w:t>
      </w:r>
      <w:hyperlink r:id="rId15" w:history="1">
        <w:r w:rsidRPr="00D86986">
          <w:rPr>
            <w:rFonts w:ascii="Arial" w:eastAsia="Calibri" w:hAnsi="Arial" w:cs="Arial"/>
            <w:color w:val="0000FF"/>
            <w:sz w:val="22"/>
            <w:szCs w:val="22"/>
            <w:u w:val="single"/>
          </w:rPr>
          <w:t>https://www.bracknell-forest.gov.uk/planning-and-building-control/planning/planning-policy/development-plan/local-plan-2002</w:t>
        </w:r>
      </w:hyperlink>
      <w:r w:rsidRPr="00D86986">
        <w:rPr>
          <w:rFonts w:ascii="Arial" w:eastAsia="Calibri" w:hAnsi="Arial" w:cs="Arial"/>
          <w:sz w:val="22"/>
          <w:szCs w:val="22"/>
        </w:rPr>
        <w:t xml:space="preserve"> </w:t>
      </w:r>
    </w:p>
    <w:p w14:paraId="63C5A942" w14:textId="77777777" w:rsidR="00FF06E0" w:rsidRPr="00D86986" w:rsidRDefault="00FF06E0" w:rsidP="00FF06E0">
      <w:pPr>
        <w:numPr>
          <w:ilvl w:val="0"/>
          <w:numId w:val="1"/>
        </w:numPr>
        <w:autoSpaceDE/>
        <w:autoSpaceDN/>
        <w:ind w:left="357" w:hanging="357"/>
        <w:rPr>
          <w:rFonts w:ascii="Arial" w:eastAsia="Calibri" w:hAnsi="Arial" w:cs="Arial"/>
          <w:sz w:val="22"/>
          <w:szCs w:val="22"/>
        </w:rPr>
      </w:pPr>
      <w:r w:rsidRPr="00D86986">
        <w:rPr>
          <w:rFonts w:ascii="Arial" w:eastAsia="Calibri" w:hAnsi="Arial" w:cs="Arial"/>
          <w:sz w:val="22"/>
          <w:szCs w:val="22"/>
        </w:rPr>
        <w:t xml:space="preserve">Bracknell Forest Core Strategy Development Plan Document (DPD) Policy CS14 (Thames Basin Heaths SPA) </w:t>
      </w:r>
      <w:hyperlink r:id="rId16" w:history="1">
        <w:r w:rsidRPr="00D86986">
          <w:rPr>
            <w:rFonts w:ascii="Arial" w:eastAsia="Calibri" w:hAnsi="Arial" w:cs="Arial"/>
            <w:color w:val="0000FF"/>
            <w:sz w:val="22"/>
            <w:szCs w:val="22"/>
            <w:u w:val="single"/>
          </w:rPr>
          <w:t>https://www.bracknell-forest.gov.uk/sites/default/files/documents/core-strategy-development-plan-document-february-2008.pdf</w:t>
        </w:r>
      </w:hyperlink>
      <w:r w:rsidRPr="00D86986">
        <w:rPr>
          <w:rFonts w:ascii="Arial" w:eastAsia="Calibri" w:hAnsi="Arial" w:cs="Arial"/>
          <w:sz w:val="22"/>
          <w:szCs w:val="22"/>
        </w:rPr>
        <w:t xml:space="preserve"> </w:t>
      </w:r>
    </w:p>
    <w:p w14:paraId="30FB2E22" w14:textId="77777777" w:rsidR="00FF06E0" w:rsidRPr="00D86986" w:rsidRDefault="00FF06E0" w:rsidP="00FF06E0">
      <w:pPr>
        <w:numPr>
          <w:ilvl w:val="0"/>
          <w:numId w:val="1"/>
        </w:numPr>
        <w:autoSpaceDE/>
        <w:autoSpaceDN/>
        <w:ind w:left="357" w:hanging="357"/>
        <w:rPr>
          <w:rFonts w:ascii="Arial" w:eastAsia="Calibri" w:hAnsi="Arial" w:cs="Arial"/>
          <w:sz w:val="22"/>
          <w:szCs w:val="22"/>
        </w:rPr>
      </w:pPr>
      <w:r w:rsidRPr="00D86986">
        <w:rPr>
          <w:rFonts w:ascii="Arial" w:eastAsia="Calibri" w:hAnsi="Arial" w:cs="Arial"/>
          <w:sz w:val="22"/>
          <w:szCs w:val="22"/>
        </w:rPr>
        <w:t xml:space="preserve">Bracknell Forest Site Allocations Local Plan (July 2013) </w:t>
      </w:r>
      <w:hyperlink r:id="rId17" w:history="1">
        <w:r w:rsidRPr="00D86986">
          <w:rPr>
            <w:rFonts w:ascii="Arial" w:eastAsia="Calibri" w:hAnsi="Arial" w:cs="Arial"/>
            <w:color w:val="0000FF"/>
            <w:sz w:val="22"/>
            <w:szCs w:val="22"/>
            <w:u w:val="single"/>
          </w:rPr>
          <w:t>https://www.bracknell-forest.gov.uk/sites/default/files/documents/salp-adopted.pdf</w:t>
        </w:r>
      </w:hyperlink>
      <w:r w:rsidRPr="00D86986">
        <w:rPr>
          <w:rFonts w:ascii="Arial" w:eastAsia="Calibri" w:hAnsi="Arial" w:cs="Arial"/>
          <w:sz w:val="22"/>
          <w:szCs w:val="22"/>
        </w:rPr>
        <w:t xml:space="preserve"> </w:t>
      </w:r>
    </w:p>
    <w:p w14:paraId="2F258A12" w14:textId="77777777" w:rsidR="00FF06E0" w:rsidRPr="00D86986" w:rsidRDefault="00FF06E0" w:rsidP="00FF06E0">
      <w:pPr>
        <w:numPr>
          <w:ilvl w:val="0"/>
          <w:numId w:val="1"/>
        </w:numPr>
        <w:autoSpaceDE/>
        <w:autoSpaceDN/>
        <w:ind w:left="357" w:hanging="357"/>
        <w:rPr>
          <w:rFonts w:ascii="Arial" w:eastAsia="Calibri" w:hAnsi="Arial" w:cs="Arial"/>
          <w:sz w:val="22"/>
          <w:szCs w:val="22"/>
        </w:rPr>
      </w:pPr>
      <w:r w:rsidRPr="00D86986">
        <w:rPr>
          <w:rFonts w:ascii="Arial" w:eastAsia="Calibri" w:hAnsi="Arial" w:cs="Arial"/>
          <w:sz w:val="22"/>
          <w:szCs w:val="22"/>
        </w:rPr>
        <w:t xml:space="preserve">Thames Basin Heaths SPA SPD (April 2018) </w:t>
      </w:r>
      <w:hyperlink r:id="rId18" w:history="1">
        <w:r w:rsidRPr="00D86986">
          <w:rPr>
            <w:rFonts w:ascii="Arial" w:eastAsia="Calibri" w:hAnsi="Arial" w:cs="Arial"/>
            <w:color w:val="0000FF"/>
            <w:sz w:val="22"/>
            <w:szCs w:val="22"/>
            <w:u w:val="single"/>
          </w:rPr>
          <w:t>https://www.bracknell-forest.gov.uk/sites/default/files/documents/thames-basin-heaths-spa-supplementary-planning-document.pdf</w:t>
        </w:r>
      </w:hyperlink>
      <w:r w:rsidRPr="00D86986">
        <w:rPr>
          <w:rFonts w:ascii="Arial" w:eastAsia="Calibri" w:hAnsi="Arial" w:cs="Arial"/>
          <w:sz w:val="22"/>
          <w:szCs w:val="22"/>
        </w:rPr>
        <w:t xml:space="preserve"> </w:t>
      </w:r>
    </w:p>
    <w:p w14:paraId="4E2EA576" w14:textId="77777777" w:rsidR="00FF06E0" w:rsidRPr="00D86986" w:rsidRDefault="00FF06E0" w:rsidP="00FF06E0">
      <w:pPr>
        <w:numPr>
          <w:ilvl w:val="0"/>
          <w:numId w:val="1"/>
        </w:numPr>
        <w:autoSpaceDE/>
        <w:autoSpaceDN/>
        <w:ind w:left="357" w:hanging="357"/>
        <w:rPr>
          <w:rFonts w:ascii="Arial" w:eastAsia="Calibri" w:hAnsi="Arial" w:cs="Arial"/>
          <w:sz w:val="22"/>
          <w:szCs w:val="22"/>
        </w:rPr>
      </w:pPr>
      <w:r w:rsidRPr="00D86986">
        <w:rPr>
          <w:rFonts w:ascii="Arial" w:eastAsia="Calibri" w:hAnsi="Arial" w:cs="Arial"/>
          <w:iCs/>
          <w:sz w:val="22"/>
          <w:szCs w:val="22"/>
        </w:rPr>
        <w:lastRenderedPageBreak/>
        <w:t>T</w:t>
      </w:r>
      <w:r w:rsidRPr="00D86986">
        <w:rPr>
          <w:rFonts w:ascii="Arial" w:eastAsia="Calibri" w:hAnsi="Arial" w:cs="Arial"/>
          <w:bCs/>
          <w:sz w:val="22"/>
          <w:szCs w:val="22"/>
        </w:rPr>
        <w:t>hames Basin Heaths SPA Delivery Framework (2009)</w:t>
      </w:r>
      <w:r w:rsidRPr="00D86986">
        <w:rPr>
          <w:rFonts w:ascii="Arial" w:eastAsia="Calibri" w:hAnsi="Arial" w:cs="Arial"/>
          <w:sz w:val="22"/>
          <w:szCs w:val="22"/>
        </w:rPr>
        <w:t xml:space="preserve"> </w:t>
      </w:r>
      <w:hyperlink r:id="rId19" w:history="1">
        <w:r w:rsidRPr="00D86986">
          <w:rPr>
            <w:rFonts w:ascii="Arial" w:eastAsia="Calibri" w:hAnsi="Arial" w:cs="Arial"/>
            <w:color w:val="0000FF"/>
            <w:sz w:val="22"/>
            <w:szCs w:val="22"/>
            <w:u w:val="single"/>
          </w:rPr>
          <w:t>https://files.bracknell-forest.gov.uk/sites/bracknell/documents/thames-basin-heaths-spa-delivery-framework.pdf</w:t>
        </w:r>
      </w:hyperlink>
      <w:r w:rsidRPr="00D86986">
        <w:rPr>
          <w:rFonts w:ascii="Arial" w:eastAsia="Calibri" w:hAnsi="Arial" w:cs="Arial"/>
          <w:sz w:val="22"/>
          <w:szCs w:val="22"/>
        </w:rPr>
        <w:t xml:space="preserve"> </w:t>
      </w:r>
    </w:p>
    <w:p w14:paraId="6E8E804C" w14:textId="77777777" w:rsidR="00FF06E0" w:rsidRPr="00D86986" w:rsidRDefault="00FF06E0" w:rsidP="00FF06E0">
      <w:pPr>
        <w:autoSpaceDE/>
        <w:autoSpaceDN/>
        <w:rPr>
          <w:rFonts w:ascii="Arial" w:eastAsia="Calibri" w:hAnsi="Arial" w:cs="Arial"/>
          <w:sz w:val="22"/>
          <w:szCs w:val="22"/>
        </w:rPr>
      </w:pPr>
    </w:p>
    <w:p w14:paraId="6BDCDB0B"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The project as proposed would not adversely impact on the integrity of the SPA and SAC if avoidance and mitigation measures are provided as stipulated by these policies and guidance.</w:t>
      </w:r>
    </w:p>
    <w:p w14:paraId="12CC2385" w14:textId="77777777" w:rsidR="00FF06E0" w:rsidRPr="00D86986" w:rsidRDefault="00FF06E0" w:rsidP="00FF06E0">
      <w:pPr>
        <w:autoSpaceDE/>
        <w:autoSpaceDN/>
        <w:rPr>
          <w:rFonts w:ascii="Arial" w:eastAsia="Calibri" w:hAnsi="Arial" w:cs="Arial"/>
          <w:sz w:val="22"/>
          <w:szCs w:val="22"/>
        </w:rPr>
      </w:pPr>
    </w:p>
    <w:p w14:paraId="3C7B55CC" w14:textId="77777777" w:rsidR="00FF06E0" w:rsidRPr="00FF06E0" w:rsidRDefault="00FF06E0" w:rsidP="00FF06E0">
      <w:pPr>
        <w:autoSpaceDE/>
        <w:autoSpaceDN/>
        <w:rPr>
          <w:rFonts w:ascii="Arial" w:eastAsia="Calibri" w:hAnsi="Arial" w:cs="Arial"/>
          <w:sz w:val="22"/>
          <w:szCs w:val="22"/>
          <w:u w:val="single"/>
        </w:rPr>
      </w:pPr>
      <w:r w:rsidRPr="00FF06E0">
        <w:rPr>
          <w:rFonts w:ascii="Arial" w:eastAsia="Calibri" w:hAnsi="Arial" w:cs="Arial"/>
          <w:sz w:val="22"/>
          <w:szCs w:val="22"/>
        </w:rPr>
        <w:t xml:space="preserve">b. </w:t>
      </w:r>
      <w:r w:rsidRPr="00FF06E0">
        <w:rPr>
          <w:rFonts w:ascii="Arial" w:eastAsia="Calibri" w:hAnsi="Arial" w:cs="Arial"/>
          <w:sz w:val="22"/>
          <w:szCs w:val="22"/>
          <w:u w:val="single"/>
        </w:rPr>
        <w:t>SPA Avoidance and Mitigation Measures</w:t>
      </w:r>
    </w:p>
    <w:p w14:paraId="62973A97" w14:textId="77777777" w:rsidR="00FF06E0" w:rsidRPr="00FF06E0" w:rsidRDefault="00FF06E0" w:rsidP="00FF06E0">
      <w:pPr>
        <w:autoSpaceDE/>
        <w:autoSpaceDN/>
        <w:adjustRightInd w:val="0"/>
        <w:rPr>
          <w:rFonts w:ascii="Arial" w:eastAsia="Calibri" w:hAnsi="Arial" w:cs="Arial"/>
          <w:sz w:val="22"/>
          <w:szCs w:val="22"/>
        </w:rPr>
      </w:pPr>
    </w:p>
    <w:p w14:paraId="5EAF97A2" w14:textId="77777777" w:rsidR="00FF06E0" w:rsidRPr="00FF06E0" w:rsidRDefault="00FF06E0" w:rsidP="00FF06E0">
      <w:pPr>
        <w:autoSpaceDE/>
        <w:autoSpaceDN/>
        <w:rPr>
          <w:rFonts w:ascii="Arial" w:eastAsia="Calibri" w:hAnsi="Arial" w:cs="Arial"/>
          <w:b/>
          <w:sz w:val="22"/>
          <w:szCs w:val="22"/>
        </w:rPr>
      </w:pPr>
      <w:proofErr w:type="spellStart"/>
      <w:r w:rsidRPr="00FF06E0">
        <w:rPr>
          <w:rFonts w:ascii="Arial" w:eastAsia="Calibri" w:hAnsi="Arial" w:cs="Arial"/>
          <w:b/>
          <w:sz w:val="22"/>
          <w:szCs w:val="22"/>
        </w:rPr>
        <w:t>i</w:t>
      </w:r>
      <w:proofErr w:type="spellEnd"/>
      <w:r w:rsidRPr="00FF06E0">
        <w:rPr>
          <w:rFonts w:ascii="Arial" w:eastAsia="Calibri" w:hAnsi="Arial" w:cs="Arial"/>
          <w:b/>
          <w:sz w:val="22"/>
          <w:szCs w:val="22"/>
        </w:rPr>
        <w:t xml:space="preserve">) The provision of Suitable Alternative Natural Greenspace (SANG) and its ongoing maintenance in perpetuity. </w:t>
      </w:r>
    </w:p>
    <w:p w14:paraId="11590775" w14:textId="77777777" w:rsidR="00FF06E0" w:rsidRPr="00FF06E0" w:rsidRDefault="00FF06E0" w:rsidP="00FF06E0">
      <w:pPr>
        <w:autoSpaceDE/>
        <w:autoSpaceDN/>
        <w:rPr>
          <w:rFonts w:ascii="Arial" w:eastAsia="Calibri" w:hAnsi="Arial" w:cs="Arial"/>
          <w:b/>
          <w:sz w:val="22"/>
          <w:szCs w:val="22"/>
        </w:rPr>
      </w:pPr>
    </w:p>
    <w:p w14:paraId="1F7FD2AC" w14:textId="77777777" w:rsidR="00FF06E0" w:rsidRPr="00FF06E0" w:rsidRDefault="00FF06E0" w:rsidP="00FF06E0">
      <w:pPr>
        <w:shd w:val="clear" w:color="auto" w:fill="FFFFFF"/>
        <w:autoSpaceDE/>
        <w:autoSpaceDN/>
        <w:rPr>
          <w:rFonts w:ascii="Arial" w:eastAsia="Calibri" w:hAnsi="Arial" w:cs="Arial"/>
          <w:sz w:val="22"/>
          <w:szCs w:val="22"/>
        </w:rPr>
      </w:pPr>
      <w:r w:rsidRPr="00FF06E0">
        <w:rPr>
          <w:rFonts w:ascii="Arial" w:eastAsia="Calibri" w:hAnsi="Arial" w:cs="Arial"/>
          <w:sz w:val="22"/>
          <w:szCs w:val="22"/>
        </w:rPr>
        <w:t>In accordance with the SPA SPD, the development will be required to provide alternative land to attract new residents away from the SPA.  The term given to this alternative land is Suitable Alternative Natural Greenspace (SANG).  As this development leads to a net increase of less than 109 dwellings, the developer may make a payment contribution towards strategic SANGs (subject to SANGs capacity in the right location within Bracknell Forest).</w:t>
      </w:r>
    </w:p>
    <w:p w14:paraId="05C1C8AF" w14:textId="77777777" w:rsidR="00FF06E0" w:rsidRPr="00FF06E0" w:rsidRDefault="00FF06E0" w:rsidP="00FF06E0">
      <w:pPr>
        <w:shd w:val="clear" w:color="auto" w:fill="FFFFFF"/>
        <w:autoSpaceDE/>
        <w:autoSpaceDN/>
        <w:rPr>
          <w:rFonts w:ascii="Arial" w:eastAsia="Calibri" w:hAnsi="Arial" w:cs="Arial"/>
          <w:sz w:val="22"/>
          <w:szCs w:val="22"/>
        </w:rPr>
      </w:pPr>
    </w:p>
    <w:p w14:paraId="763C9DE3" w14:textId="77777777" w:rsidR="00FF06E0" w:rsidRPr="00FF06E0" w:rsidRDefault="00FF06E0" w:rsidP="00FF06E0">
      <w:pPr>
        <w:shd w:val="clear" w:color="auto" w:fill="FFFFFF"/>
        <w:autoSpaceDE/>
        <w:autoSpaceDN/>
        <w:rPr>
          <w:rFonts w:ascii="Arial" w:eastAsia="Calibri" w:hAnsi="Arial" w:cs="Arial"/>
          <w:color w:val="0000FF"/>
          <w:sz w:val="22"/>
          <w:szCs w:val="22"/>
          <w:u w:val="single"/>
          <w:lang w:eastAsia="en-GB"/>
        </w:rPr>
      </w:pPr>
      <w:r w:rsidRPr="00FF06E0">
        <w:rPr>
          <w:rFonts w:ascii="Arial" w:eastAsia="Calibri" w:hAnsi="Arial" w:cs="Arial"/>
          <w:sz w:val="22"/>
          <w:szCs w:val="22"/>
        </w:rPr>
        <w:t xml:space="preserve">The cost of the SANG enhancement works will be funded through the Community Infrastructure Levy (CIL) </w:t>
      </w:r>
      <w:proofErr w:type="gramStart"/>
      <w:r w:rsidRPr="00FF06E0">
        <w:rPr>
          <w:rFonts w:ascii="Arial" w:eastAsia="Calibri" w:hAnsi="Arial" w:cs="Arial"/>
          <w:sz w:val="22"/>
          <w:szCs w:val="22"/>
        </w:rPr>
        <w:t>whether or not</w:t>
      </w:r>
      <w:proofErr w:type="gramEnd"/>
      <w:r w:rsidRPr="00FF06E0">
        <w:rPr>
          <w:rFonts w:ascii="Arial" w:eastAsia="Calibri" w:hAnsi="Arial" w:cs="Arial"/>
          <w:sz w:val="22"/>
          <w:szCs w:val="22"/>
        </w:rPr>
        <w:t xml:space="preserve"> this development is liable for CIL.  The Council will carry out these works as part of its on-going SANG enhancement programme. The remaining SANG contributions (for example, to fund in-perpetuity maintenance) will be taken through Section 106 Agreement contributions. </w:t>
      </w:r>
    </w:p>
    <w:p w14:paraId="0E821623" w14:textId="77777777" w:rsidR="00FF06E0" w:rsidRPr="00FF06E0" w:rsidRDefault="00FF06E0" w:rsidP="00FF06E0">
      <w:pPr>
        <w:autoSpaceDE/>
        <w:autoSpaceDN/>
        <w:rPr>
          <w:rFonts w:ascii="Arial" w:eastAsia="Calibri" w:hAnsi="Arial" w:cs="Arial"/>
          <w:bCs/>
          <w:sz w:val="22"/>
          <w:szCs w:val="22"/>
        </w:rPr>
      </w:pPr>
    </w:p>
    <w:p w14:paraId="2F97FC2E" w14:textId="1F71CD9B"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sz w:val="22"/>
          <w:szCs w:val="22"/>
        </w:rPr>
        <w:t xml:space="preserve">The development will result in a net increase </w:t>
      </w:r>
      <w:r w:rsidRPr="00FF06E0">
        <w:rPr>
          <w:rFonts w:ascii="Arial" w:eastAsia="Calibri" w:hAnsi="Arial" w:cs="Arial"/>
          <w:color w:val="000000"/>
          <w:sz w:val="22"/>
          <w:szCs w:val="22"/>
        </w:rPr>
        <w:t xml:space="preserve">of </w:t>
      </w:r>
      <w:r w:rsidRPr="00FF06E0">
        <w:rPr>
          <w:rFonts w:ascii="Arial" w:eastAsia="Calibri" w:hAnsi="Arial" w:cs="Arial"/>
          <w:b/>
          <w:color w:val="000000"/>
          <w:sz w:val="22"/>
          <w:szCs w:val="22"/>
        </w:rPr>
        <w:t>three x 1-bedroom dwellings and</w:t>
      </w:r>
      <w:r>
        <w:rPr>
          <w:rFonts w:ascii="Arial" w:eastAsia="Calibri" w:hAnsi="Arial" w:cs="Arial"/>
          <w:b/>
          <w:color w:val="000000"/>
          <w:sz w:val="22"/>
          <w:szCs w:val="22"/>
        </w:rPr>
        <w:t xml:space="preserve"> twelve</w:t>
      </w:r>
      <w:r w:rsidRPr="00FF06E0">
        <w:rPr>
          <w:rFonts w:ascii="Arial" w:eastAsia="Calibri" w:hAnsi="Arial" w:cs="Arial"/>
          <w:b/>
          <w:color w:val="000000"/>
          <w:sz w:val="22"/>
          <w:szCs w:val="22"/>
        </w:rPr>
        <w:t xml:space="preserve"> </w:t>
      </w:r>
      <w:proofErr w:type="gramStart"/>
      <w:r w:rsidRPr="00FF06E0">
        <w:rPr>
          <w:rFonts w:ascii="Arial" w:eastAsia="Calibri" w:hAnsi="Arial" w:cs="Arial"/>
          <w:b/>
          <w:color w:val="000000"/>
          <w:sz w:val="22"/>
          <w:szCs w:val="22"/>
        </w:rPr>
        <w:t>x  2</w:t>
      </w:r>
      <w:proofErr w:type="gramEnd"/>
      <w:r w:rsidRPr="00FF06E0">
        <w:rPr>
          <w:rFonts w:ascii="Arial" w:eastAsia="Calibri" w:hAnsi="Arial" w:cs="Arial"/>
          <w:b/>
          <w:color w:val="000000"/>
          <w:sz w:val="22"/>
          <w:szCs w:val="22"/>
        </w:rPr>
        <w:t xml:space="preserve"> –bedroom dwellings</w:t>
      </w:r>
      <w:r>
        <w:rPr>
          <w:rFonts w:ascii="Arial" w:eastAsia="Calibri" w:hAnsi="Arial" w:cs="Arial"/>
          <w:b/>
          <w:color w:val="000000"/>
          <w:sz w:val="22"/>
          <w:szCs w:val="22"/>
        </w:rPr>
        <w:t xml:space="preserve"> replacing the existing 3 -bedroom dwelling</w:t>
      </w:r>
      <w:r w:rsidRPr="00FF06E0">
        <w:rPr>
          <w:rFonts w:ascii="Arial" w:eastAsia="Calibri" w:hAnsi="Arial" w:cs="Arial"/>
          <w:sz w:val="22"/>
          <w:szCs w:val="22"/>
        </w:rPr>
        <w:t xml:space="preserve">.  Depending on the dwelling mix, the level of SANG payments are set out as follows: </w:t>
      </w:r>
    </w:p>
    <w:p w14:paraId="74B244C7" w14:textId="77777777" w:rsidR="00FF06E0" w:rsidRPr="00FF06E0" w:rsidRDefault="00FF06E0" w:rsidP="00FF06E0">
      <w:pPr>
        <w:autoSpaceDE/>
        <w:autoSpaceDN/>
        <w:adjustRightInd w:val="0"/>
        <w:rPr>
          <w:rFonts w:ascii="Arial" w:eastAsia="Calibri" w:hAnsi="Arial" w:cs="Arial"/>
          <w:b/>
          <w:color w:val="000000"/>
          <w:sz w:val="22"/>
          <w:szCs w:val="22"/>
          <w:lang w:eastAsia="en-GB"/>
        </w:rPr>
      </w:pPr>
    </w:p>
    <w:tbl>
      <w:tblPr>
        <w:tblW w:w="4778"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000" w:firstRow="0" w:lastRow="0" w:firstColumn="0" w:lastColumn="0" w:noHBand="0" w:noVBand="0"/>
      </w:tblPr>
      <w:tblGrid>
        <w:gridCol w:w="2405"/>
        <w:gridCol w:w="2333"/>
        <w:gridCol w:w="5540"/>
      </w:tblGrid>
      <w:tr w:rsidR="00FF06E0" w:rsidRPr="00FF06E0" w14:paraId="61EA6928" w14:textId="77777777" w:rsidTr="00FF06E0">
        <w:tc>
          <w:tcPr>
            <w:tcW w:w="1170" w:type="pct"/>
            <w:tcBorders>
              <w:top w:val="single" w:sz="6" w:space="0" w:color="808080"/>
              <w:bottom w:val="single" w:sz="6" w:space="0" w:color="808080"/>
              <w:right w:val="single" w:sz="6" w:space="0" w:color="808080"/>
            </w:tcBorders>
            <w:shd w:val="clear" w:color="auto" w:fill="FFFFFF"/>
            <w:vAlign w:val="center"/>
          </w:tcPr>
          <w:p w14:paraId="76057EDA"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No. of </w:t>
            </w:r>
            <w:r w:rsidRPr="00FF06E0">
              <w:rPr>
                <w:rFonts w:ascii="Arial" w:eastAsia="Calibri" w:hAnsi="Arial" w:cs="Arial"/>
                <w:sz w:val="22"/>
                <w:szCs w:val="22"/>
                <w:lang w:eastAsia="en-GB"/>
              </w:rPr>
              <w:br/>
              <w:t xml:space="preserve">bedrooms </w:t>
            </w:r>
          </w:p>
        </w:tc>
        <w:tc>
          <w:tcPr>
            <w:tcW w:w="1135"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4BE05513"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SANG</w:t>
            </w:r>
            <w:r w:rsidRPr="00FF06E0">
              <w:rPr>
                <w:rFonts w:ascii="Arial" w:eastAsia="Calibri" w:hAnsi="Arial" w:cs="Arial"/>
                <w:sz w:val="22"/>
                <w:szCs w:val="22"/>
                <w:lang w:eastAsia="en-GB"/>
              </w:rPr>
              <w:br/>
              <w:t>Contribution</w:t>
            </w:r>
          </w:p>
        </w:tc>
        <w:tc>
          <w:tcPr>
            <w:tcW w:w="2695" w:type="pct"/>
            <w:tcBorders>
              <w:top w:val="single" w:sz="6" w:space="0" w:color="808080"/>
              <w:left w:val="single" w:sz="6" w:space="0" w:color="808080"/>
              <w:bottom w:val="single" w:sz="6" w:space="0" w:color="808080"/>
            </w:tcBorders>
            <w:shd w:val="clear" w:color="auto" w:fill="FFFFFF"/>
            <w:vAlign w:val="center"/>
          </w:tcPr>
          <w:p w14:paraId="782C98AF" w14:textId="5A7E7D18" w:rsidR="00FF06E0" w:rsidRPr="00FF06E0" w:rsidRDefault="00FF06E0" w:rsidP="00FF06E0">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Aggregate SANG</w:t>
            </w:r>
            <w:r w:rsidRPr="00FF06E0">
              <w:rPr>
                <w:rFonts w:ascii="Arial" w:eastAsia="Calibri" w:hAnsi="Arial" w:cs="Arial"/>
                <w:sz w:val="22"/>
                <w:szCs w:val="22"/>
                <w:lang w:eastAsia="en-GB"/>
              </w:rPr>
              <w:br/>
              <w:t>Contribution</w:t>
            </w:r>
          </w:p>
        </w:tc>
      </w:tr>
      <w:tr w:rsidR="00FF06E0" w:rsidRPr="00FF06E0" w14:paraId="2EA74379" w14:textId="77777777" w:rsidTr="00FF06E0">
        <w:tc>
          <w:tcPr>
            <w:tcW w:w="1170" w:type="pct"/>
            <w:tcBorders>
              <w:top w:val="single" w:sz="6" w:space="0" w:color="808080"/>
              <w:bottom w:val="single" w:sz="6" w:space="0" w:color="808080"/>
              <w:right w:val="single" w:sz="6" w:space="0" w:color="808080"/>
            </w:tcBorders>
            <w:vAlign w:val="center"/>
          </w:tcPr>
          <w:p w14:paraId="78D11FD6"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1 bedroom </w:t>
            </w:r>
          </w:p>
        </w:tc>
        <w:tc>
          <w:tcPr>
            <w:tcW w:w="1135" w:type="pct"/>
            <w:tcBorders>
              <w:top w:val="single" w:sz="6" w:space="0" w:color="808080"/>
              <w:left w:val="single" w:sz="6" w:space="0" w:color="808080"/>
              <w:bottom w:val="single" w:sz="6" w:space="0" w:color="808080"/>
              <w:right w:val="single" w:sz="6" w:space="0" w:color="808080"/>
            </w:tcBorders>
            <w:vAlign w:val="center"/>
          </w:tcPr>
          <w:p w14:paraId="09BF3BB3"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sz w:val="22"/>
                <w:szCs w:val="22"/>
              </w:rPr>
              <w:t>£4,403</w:t>
            </w:r>
          </w:p>
        </w:tc>
        <w:tc>
          <w:tcPr>
            <w:tcW w:w="2695" w:type="pct"/>
            <w:tcBorders>
              <w:top w:val="single" w:sz="6" w:space="0" w:color="808080"/>
              <w:left w:val="single" w:sz="6" w:space="0" w:color="808080"/>
              <w:bottom w:val="single" w:sz="6" w:space="0" w:color="808080"/>
            </w:tcBorders>
            <w:vAlign w:val="center"/>
          </w:tcPr>
          <w:p w14:paraId="0861E553" w14:textId="77777777" w:rsidR="00FF06E0" w:rsidRPr="00FF06E0" w:rsidRDefault="00FF06E0" w:rsidP="00FF06E0">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3 X £4,403</w:t>
            </w:r>
          </w:p>
        </w:tc>
      </w:tr>
      <w:tr w:rsidR="00FF06E0" w:rsidRPr="00FF06E0" w14:paraId="18BC85A4" w14:textId="77777777" w:rsidTr="00FF06E0">
        <w:tc>
          <w:tcPr>
            <w:tcW w:w="1170" w:type="pct"/>
            <w:tcBorders>
              <w:top w:val="single" w:sz="6" w:space="0" w:color="808080"/>
              <w:bottom w:val="single" w:sz="6" w:space="0" w:color="808080"/>
              <w:right w:val="single" w:sz="6" w:space="0" w:color="808080"/>
            </w:tcBorders>
            <w:vAlign w:val="center"/>
          </w:tcPr>
          <w:p w14:paraId="61D433C6"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2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24D32353"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sz w:val="22"/>
                <w:szCs w:val="22"/>
              </w:rPr>
              <w:t>£5,193</w:t>
            </w:r>
          </w:p>
        </w:tc>
        <w:tc>
          <w:tcPr>
            <w:tcW w:w="2695" w:type="pct"/>
            <w:tcBorders>
              <w:top w:val="single" w:sz="6" w:space="0" w:color="808080"/>
              <w:left w:val="single" w:sz="6" w:space="0" w:color="808080"/>
              <w:bottom w:val="single" w:sz="6" w:space="0" w:color="808080"/>
            </w:tcBorders>
            <w:vAlign w:val="center"/>
          </w:tcPr>
          <w:p w14:paraId="52FEEC4F" w14:textId="2228A763" w:rsidR="00FF06E0" w:rsidRPr="00FF06E0" w:rsidRDefault="00FF06E0" w:rsidP="00FF06E0">
            <w:pPr>
              <w:autoSpaceDE/>
              <w:autoSpaceDN/>
              <w:jc w:val="center"/>
              <w:rPr>
                <w:rFonts w:ascii="Arial" w:eastAsia="Calibri" w:hAnsi="Arial" w:cs="Arial"/>
                <w:sz w:val="22"/>
                <w:szCs w:val="22"/>
                <w:lang w:eastAsia="en-GB"/>
              </w:rPr>
            </w:pPr>
            <w:r>
              <w:rPr>
                <w:rFonts w:ascii="Arial" w:eastAsia="Calibri" w:hAnsi="Arial" w:cs="Arial"/>
                <w:sz w:val="22"/>
                <w:szCs w:val="22"/>
                <w:lang w:eastAsia="en-GB"/>
              </w:rPr>
              <w:t>12</w:t>
            </w:r>
            <w:r w:rsidRPr="00FF06E0">
              <w:rPr>
                <w:rFonts w:ascii="Arial" w:eastAsia="Calibri" w:hAnsi="Arial" w:cs="Arial"/>
                <w:sz w:val="22"/>
                <w:szCs w:val="22"/>
                <w:lang w:eastAsia="en-GB"/>
              </w:rPr>
              <w:t xml:space="preserve"> X £5,193</w:t>
            </w:r>
          </w:p>
        </w:tc>
      </w:tr>
      <w:tr w:rsidR="00FF06E0" w:rsidRPr="00FF06E0" w14:paraId="148E45FA" w14:textId="77777777" w:rsidTr="00FF06E0">
        <w:tc>
          <w:tcPr>
            <w:tcW w:w="1170" w:type="pct"/>
            <w:tcBorders>
              <w:top w:val="single" w:sz="6" w:space="0" w:color="808080"/>
              <w:bottom w:val="single" w:sz="6" w:space="0" w:color="808080"/>
              <w:right w:val="single" w:sz="6" w:space="0" w:color="808080"/>
            </w:tcBorders>
            <w:vAlign w:val="center"/>
          </w:tcPr>
          <w:p w14:paraId="135FB07C"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3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59023899"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sz w:val="22"/>
                <w:szCs w:val="22"/>
              </w:rPr>
              <w:t>£6,112</w:t>
            </w:r>
          </w:p>
        </w:tc>
        <w:tc>
          <w:tcPr>
            <w:tcW w:w="2695" w:type="pct"/>
            <w:tcBorders>
              <w:top w:val="single" w:sz="6" w:space="0" w:color="808080"/>
              <w:left w:val="single" w:sz="6" w:space="0" w:color="808080"/>
              <w:bottom w:val="single" w:sz="6" w:space="0" w:color="808080"/>
            </w:tcBorders>
            <w:vAlign w:val="center"/>
          </w:tcPr>
          <w:p w14:paraId="45421E39" w14:textId="4527EA62" w:rsidR="00FF06E0" w:rsidRPr="00FF06E0" w:rsidRDefault="00FF06E0" w:rsidP="00FF06E0">
            <w:pPr>
              <w:autoSpaceDE/>
              <w:autoSpaceDN/>
              <w:ind w:left="720"/>
              <w:rPr>
                <w:rFonts w:ascii="Arial" w:eastAsia="Calibri" w:hAnsi="Arial" w:cs="Arial"/>
                <w:sz w:val="22"/>
                <w:szCs w:val="22"/>
              </w:rPr>
            </w:pPr>
            <w:r>
              <w:rPr>
                <w:rFonts w:ascii="Arial" w:eastAsia="Calibri" w:hAnsi="Arial" w:cs="Arial"/>
                <w:sz w:val="22"/>
                <w:szCs w:val="22"/>
                <w:lang w:eastAsia="en-GB"/>
              </w:rPr>
              <w:t xml:space="preserve">                           -</w:t>
            </w:r>
            <w:r w:rsidRPr="00FF06E0">
              <w:rPr>
                <w:rFonts w:ascii="Arial" w:eastAsia="Calibri" w:hAnsi="Arial" w:cs="Arial"/>
                <w:sz w:val="22"/>
                <w:szCs w:val="22"/>
                <w:lang w:eastAsia="en-GB"/>
              </w:rPr>
              <w:t>£</w:t>
            </w:r>
            <w:r>
              <w:rPr>
                <w:rFonts w:ascii="Arial" w:eastAsia="Calibri" w:hAnsi="Arial" w:cs="Arial"/>
                <w:sz w:val="22"/>
                <w:szCs w:val="22"/>
                <w:lang w:eastAsia="en-GB"/>
              </w:rPr>
              <w:t>6,112</w:t>
            </w:r>
          </w:p>
        </w:tc>
      </w:tr>
      <w:tr w:rsidR="00FF06E0" w:rsidRPr="00FF06E0" w14:paraId="4BAA2D7C" w14:textId="77777777" w:rsidTr="00FF06E0">
        <w:tc>
          <w:tcPr>
            <w:tcW w:w="1170" w:type="pct"/>
            <w:tcBorders>
              <w:top w:val="single" w:sz="6" w:space="0" w:color="808080"/>
              <w:bottom w:val="single" w:sz="6" w:space="0" w:color="808080"/>
              <w:right w:val="single" w:sz="6" w:space="0" w:color="808080"/>
            </w:tcBorders>
            <w:vAlign w:val="center"/>
          </w:tcPr>
          <w:p w14:paraId="311F566C"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4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1A433578"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sz w:val="22"/>
                <w:szCs w:val="22"/>
              </w:rPr>
              <w:t>£6,838</w:t>
            </w:r>
          </w:p>
        </w:tc>
        <w:tc>
          <w:tcPr>
            <w:tcW w:w="2695" w:type="pct"/>
            <w:tcBorders>
              <w:top w:val="single" w:sz="6" w:space="0" w:color="808080"/>
              <w:left w:val="single" w:sz="6" w:space="0" w:color="808080"/>
              <w:bottom w:val="single" w:sz="6" w:space="0" w:color="808080"/>
            </w:tcBorders>
            <w:vAlign w:val="center"/>
          </w:tcPr>
          <w:p w14:paraId="1F66F3F8" w14:textId="77777777" w:rsidR="00FF06E0" w:rsidRPr="00FF06E0" w:rsidRDefault="00FF06E0" w:rsidP="00FF06E0">
            <w:pPr>
              <w:autoSpaceDE/>
              <w:autoSpaceDN/>
              <w:jc w:val="center"/>
              <w:rPr>
                <w:rFonts w:ascii="Arial" w:eastAsia="Calibri" w:hAnsi="Arial" w:cs="Arial"/>
                <w:sz w:val="22"/>
                <w:szCs w:val="22"/>
              </w:rPr>
            </w:pPr>
            <w:r w:rsidRPr="00FF06E0">
              <w:rPr>
                <w:rFonts w:ascii="Arial" w:eastAsia="Calibri" w:hAnsi="Arial" w:cs="Arial"/>
                <w:sz w:val="22"/>
                <w:szCs w:val="22"/>
                <w:lang w:eastAsia="en-GB"/>
              </w:rPr>
              <w:t>£0</w:t>
            </w:r>
          </w:p>
        </w:tc>
      </w:tr>
      <w:tr w:rsidR="00FF06E0" w:rsidRPr="00FF06E0" w14:paraId="7AF704CD" w14:textId="77777777" w:rsidTr="00FF06E0">
        <w:tc>
          <w:tcPr>
            <w:tcW w:w="1170" w:type="pct"/>
            <w:tcBorders>
              <w:top w:val="single" w:sz="6" w:space="0" w:color="808080"/>
              <w:bottom w:val="single" w:sz="6" w:space="0" w:color="808080"/>
              <w:right w:val="single" w:sz="6" w:space="0" w:color="808080"/>
            </w:tcBorders>
            <w:vAlign w:val="center"/>
          </w:tcPr>
          <w:p w14:paraId="5A9FD752"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 xml:space="preserve">5+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4114467F"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sz w:val="22"/>
                <w:szCs w:val="22"/>
              </w:rPr>
              <w:t>£7,886</w:t>
            </w:r>
          </w:p>
        </w:tc>
        <w:tc>
          <w:tcPr>
            <w:tcW w:w="2695" w:type="pct"/>
            <w:tcBorders>
              <w:top w:val="single" w:sz="6" w:space="0" w:color="808080"/>
              <w:left w:val="single" w:sz="6" w:space="0" w:color="808080"/>
              <w:bottom w:val="single" w:sz="6" w:space="0" w:color="808080"/>
            </w:tcBorders>
            <w:vAlign w:val="center"/>
          </w:tcPr>
          <w:p w14:paraId="41E14A95" w14:textId="77777777" w:rsidR="00FF06E0" w:rsidRPr="00FF06E0" w:rsidRDefault="00FF06E0" w:rsidP="00FF06E0">
            <w:pPr>
              <w:autoSpaceDE/>
              <w:autoSpaceDN/>
              <w:jc w:val="center"/>
              <w:rPr>
                <w:rFonts w:ascii="Arial" w:eastAsia="Calibri" w:hAnsi="Arial" w:cs="Arial"/>
                <w:sz w:val="22"/>
                <w:szCs w:val="22"/>
              </w:rPr>
            </w:pPr>
            <w:r w:rsidRPr="00FF06E0">
              <w:rPr>
                <w:rFonts w:ascii="Arial" w:eastAsia="Calibri" w:hAnsi="Arial" w:cs="Arial"/>
                <w:sz w:val="22"/>
                <w:szCs w:val="22"/>
                <w:lang w:eastAsia="en-GB"/>
              </w:rPr>
              <w:t>£0</w:t>
            </w:r>
          </w:p>
        </w:tc>
      </w:tr>
      <w:tr w:rsidR="00FF06E0" w:rsidRPr="00FF06E0" w14:paraId="1F7A7D2E" w14:textId="77777777" w:rsidTr="00FF06E0">
        <w:trPr>
          <w:trHeight w:val="418"/>
        </w:trPr>
        <w:tc>
          <w:tcPr>
            <w:tcW w:w="2305" w:type="pct"/>
            <w:gridSpan w:val="2"/>
            <w:tcBorders>
              <w:top w:val="single" w:sz="6" w:space="0" w:color="808080"/>
              <w:bottom w:val="single" w:sz="6" w:space="0" w:color="808080"/>
              <w:right w:val="single" w:sz="6" w:space="0" w:color="808080"/>
            </w:tcBorders>
            <w:vAlign w:val="center"/>
          </w:tcPr>
          <w:p w14:paraId="71802208" w14:textId="77777777" w:rsidR="00FF06E0" w:rsidRPr="00FF06E0" w:rsidRDefault="00FF06E0" w:rsidP="00BF5DF8">
            <w:pPr>
              <w:autoSpaceDE/>
              <w:autoSpaceDN/>
              <w:jc w:val="center"/>
              <w:rPr>
                <w:rFonts w:ascii="Arial" w:eastAsia="Calibri" w:hAnsi="Arial" w:cs="Arial"/>
                <w:sz w:val="22"/>
                <w:szCs w:val="22"/>
                <w:lang w:eastAsia="en-GB"/>
              </w:rPr>
            </w:pPr>
            <w:r w:rsidRPr="00FF06E0">
              <w:rPr>
                <w:rFonts w:ascii="Arial" w:eastAsia="Calibri" w:hAnsi="Arial" w:cs="Arial"/>
                <w:sz w:val="22"/>
                <w:szCs w:val="22"/>
                <w:lang w:eastAsia="en-GB"/>
              </w:rPr>
              <w:t>Total SANG Contribution</w:t>
            </w:r>
          </w:p>
        </w:tc>
        <w:tc>
          <w:tcPr>
            <w:tcW w:w="2695" w:type="pct"/>
            <w:tcBorders>
              <w:top w:val="single" w:sz="6" w:space="0" w:color="808080"/>
              <w:left w:val="single" w:sz="6" w:space="0" w:color="808080"/>
              <w:bottom w:val="single" w:sz="6" w:space="0" w:color="808080"/>
            </w:tcBorders>
            <w:vAlign w:val="center"/>
          </w:tcPr>
          <w:p w14:paraId="5BA68CF5" w14:textId="0FE3E718" w:rsidR="00FF06E0" w:rsidRPr="00FF06E0" w:rsidRDefault="00FF06E0" w:rsidP="00FF06E0">
            <w:pPr>
              <w:autoSpaceDE/>
              <w:autoSpaceDN/>
              <w:jc w:val="center"/>
              <w:rPr>
                <w:rFonts w:ascii="Arial" w:eastAsia="Calibri" w:hAnsi="Arial" w:cs="Arial"/>
                <w:b/>
                <w:sz w:val="22"/>
                <w:szCs w:val="22"/>
                <w:lang w:eastAsia="en-GB"/>
              </w:rPr>
            </w:pPr>
            <w:r w:rsidRPr="00FF06E0">
              <w:rPr>
                <w:rFonts w:ascii="Arial" w:eastAsia="Calibri" w:hAnsi="Arial" w:cs="Arial"/>
                <w:b/>
                <w:sz w:val="22"/>
                <w:szCs w:val="22"/>
                <w:lang w:eastAsia="en-GB"/>
              </w:rPr>
              <w:t>£</w:t>
            </w:r>
            <w:r>
              <w:rPr>
                <w:rFonts w:ascii="Arial" w:eastAsia="Calibri" w:hAnsi="Arial" w:cs="Arial"/>
                <w:b/>
                <w:sz w:val="22"/>
                <w:szCs w:val="22"/>
                <w:lang w:eastAsia="en-GB"/>
              </w:rPr>
              <w:t>69,413</w:t>
            </w:r>
          </w:p>
        </w:tc>
      </w:tr>
    </w:tbl>
    <w:p w14:paraId="39210FF3" w14:textId="77777777" w:rsidR="00FF06E0" w:rsidRPr="00FF06E0" w:rsidRDefault="00FF06E0" w:rsidP="00FF06E0">
      <w:pPr>
        <w:autoSpaceDE/>
        <w:autoSpaceDN/>
        <w:adjustRightInd w:val="0"/>
        <w:rPr>
          <w:rFonts w:ascii="Arial" w:eastAsia="Calibri" w:hAnsi="Arial" w:cs="Arial"/>
          <w:b/>
          <w:color w:val="000000"/>
          <w:sz w:val="22"/>
          <w:szCs w:val="22"/>
          <w:lang w:eastAsia="en-GB"/>
        </w:rPr>
      </w:pPr>
    </w:p>
    <w:p w14:paraId="446DA6A2" w14:textId="48A712F2" w:rsidR="00FF06E0" w:rsidRPr="00FF06E0" w:rsidRDefault="00FF06E0" w:rsidP="00FF06E0">
      <w:pPr>
        <w:autoSpaceDE/>
        <w:autoSpaceDN/>
        <w:adjustRightInd w:val="0"/>
        <w:rPr>
          <w:rFonts w:ascii="Arial" w:eastAsia="Calibri" w:hAnsi="Arial" w:cs="Arial"/>
          <w:b/>
          <w:color w:val="000000"/>
          <w:sz w:val="22"/>
          <w:szCs w:val="22"/>
          <w:lang w:eastAsia="en-GB"/>
        </w:rPr>
      </w:pPr>
      <w:r w:rsidRPr="00FF06E0">
        <w:rPr>
          <w:rFonts w:ascii="Arial" w:eastAsia="Calibri" w:hAnsi="Arial" w:cs="Arial"/>
          <w:b/>
          <w:color w:val="000000"/>
          <w:sz w:val="22"/>
          <w:szCs w:val="22"/>
          <w:lang w:eastAsia="en-GB"/>
        </w:rPr>
        <w:t xml:space="preserve">The enhancement of open space works </w:t>
      </w:r>
      <w:r w:rsidRPr="00FF06E0">
        <w:rPr>
          <w:rFonts w:ascii="Arial" w:eastAsia="Calibri" w:hAnsi="Arial" w:cs="Arial"/>
          <w:b/>
          <w:bCs/>
          <w:color w:val="000000"/>
          <w:sz w:val="22"/>
          <w:szCs w:val="22"/>
          <w:lang w:eastAsia="en-GB"/>
        </w:rPr>
        <w:t xml:space="preserve">at </w:t>
      </w:r>
      <w:r w:rsidRPr="00FF06E0">
        <w:rPr>
          <w:rFonts w:ascii="Arial" w:eastAsia="Calibri" w:hAnsi="Arial" w:cs="Arial"/>
          <w:b/>
          <w:bCs/>
          <w:sz w:val="22"/>
          <w:szCs w:val="22"/>
          <w:lang w:eastAsia="en-GB"/>
        </w:rPr>
        <w:t>the</w:t>
      </w:r>
      <w:r w:rsidRPr="00FF06E0">
        <w:rPr>
          <w:rFonts w:ascii="Arial" w:eastAsia="Calibri" w:hAnsi="Arial" w:cs="Arial"/>
          <w:b/>
          <w:bCs/>
          <w:sz w:val="22"/>
          <w:szCs w:val="22"/>
          <w:u w:val="single"/>
          <w:lang w:eastAsia="en-GB"/>
        </w:rPr>
        <w:t xml:space="preserve"> </w:t>
      </w:r>
      <w:r>
        <w:rPr>
          <w:rFonts w:ascii="Arial" w:eastAsia="Calibri" w:hAnsi="Arial" w:cs="Arial"/>
          <w:b/>
          <w:bCs/>
          <w:sz w:val="22"/>
          <w:szCs w:val="22"/>
          <w:u w:val="single"/>
          <w:lang w:eastAsia="en-GB"/>
        </w:rPr>
        <w:t>Shepherds Meadow</w:t>
      </w:r>
      <w:r w:rsidRPr="00FF06E0">
        <w:rPr>
          <w:rFonts w:ascii="Arial" w:eastAsia="Calibri" w:hAnsi="Arial" w:cs="Arial"/>
          <w:b/>
          <w:bCs/>
          <w:sz w:val="22"/>
          <w:szCs w:val="22"/>
          <w:u w:val="single"/>
          <w:lang w:eastAsia="en-GB"/>
        </w:rPr>
        <w:t xml:space="preserve"> SANG</w:t>
      </w:r>
      <w:r w:rsidRPr="00FF06E0">
        <w:rPr>
          <w:rFonts w:ascii="Arial" w:eastAsia="Calibri" w:hAnsi="Arial" w:cs="Arial"/>
          <w:b/>
          <w:sz w:val="22"/>
          <w:szCs w:val="22"/>
          <w:lang w:eastAsia="en-GB"/>
        </w:rPr>
        <w:t xml:space="preserve"> </w:t>
      </w:r>
      <w:r w:rsidRPr="00FF06E0">
        <w:rPr>
          <w:rFonts w:ascii="Arial" w:eastAsia="Calibri" w:hAnsi="Arial" w:cs="Arial"/>
          <w:b/>
          <w:color w:val="000000"/>
          <w:sz w:val="22"/>
          <w:szCs w:val="22"/>
          <w:lang w:eastAsia="en-GB"/>
        </w:rPr>
        <w:t>is the most appropriate to this proposal (although it may be necessary to allocate the contribution to another SANG).</w:t>
      </w:r>
    </w:p>
    <w:p w14:paraId="3D9E6806" w14:textId="77777777" w:rsidR="00FF06E0" w:rsidRPr="00FF06E0" w:rsidRDefault="00FF06E0" w:rsidP="00FF06E0">
      <w:pPr>
        <w:autoSpaceDE/>
        <w:autoSpaceDN/>
        <w:adjustRightInd w:val="0"/>
        <w:rPr>
          <w:rFonts w:ascii="Arial" w:eastAsia="Calibri" w:hAnsi="Arial" w:cs="Arial"/>
          <w:color w:val="000000"/>
          <w:sz w:val="22"/>
          <w:szCs w:val="22"/>
          <w:lang w:eastAsia="en-GB"/>
        </w:rPr>
      </w:pPr>
    </w:p>
    <w:p w14:paraId="0109797D" w14:textId="77777777" w:rsidR="00FF06E0" w:rsidRPr="00FF06E0" w:rsidRDefault="00FF06E0" w:rsidP="00FF06E0">
      <w:pPr>
        <w:autoSpaceDE/>
        <w:autoSpaceDN/>
        <w:adjustRightInd w:val="0"/>
        <w:rPr>
          <w:rFonts w:ascii="Arial" w:eastAsia="Calibri" w:hAnsi="Arial" w:cs="Arial"/>
          <w:b/>
          <w:sz w:val="22"/>
          <w:szCs w:val="22"/>
          <w:lang w:eastAsia="en-GB"/>
        </w:rPr>
      </w:pPr>
      <w:r w:rsidRPr="00FF06E0">
        <w:rPr>
          <w:rFonts w:ascii="Arial" w:eastAsia="Calibri" w:hAnsi="Arial" w:cs="Arial"/>
          <w:sz w:val="22"/>
          <w:szCs w:val="22"/>
          <w:lang w:eastAsia="en-GB"/>
        </w:rPr>
        <w:t xml:space="preserve">An occupation restriction will be included in the Section 106 Agreement.  This serves to ensure that the SANGs enhancement works have been carried out </w:t>
      </w:r>
      <w:r w:rsidRPr="00FF06E0">
        <w:rPr>
          <w:rFonts w:ascii="Arial" w:eastAsia="Calibri" w:hAnsi="Arial" w:cs="Arial"/>
          <w:i/>
          <w:sz w:val="22"/>
          <w:szCs w:val="22"/>
          <w:lang w:eastAsia="en-GB"/>
        </w:rPr>
        <w:t>before</w:t>
      </w:r>
      <w:r w:rsidRPr="00FF06E0">
        <w:rPr>
          <w:rFonts w:ascii="Arial" w:eastAsia="Calibri" w:hAnsi="Arial" w:cs="Arial"/>
          <w:sz w:val="22"/>
          <w:szCs w:val="22"/>
          <w:lang w:eastAsia="en-GB"/>
        </w:rPr>
        <w:t xml:space="preserve"> occupation of the dwellings.  This gives the certainty required to satisfy the Habitats Regulations in accordance with South East Plan Policy NRM6 (iii) and the Thames Basin Heaths Special Protection Area SPD. </w:t>
      </w:r>
    </w:p>
    <w:p w14:paraId="63865293" w14:textId="77777777" w:rsidR="00FF06E0" w:rsidRPr="00FF06E0" w:rsidRDefault="00FF06E0" w:rsidP="00FF06E0">
      <w:pPr>
        <w:autoSpaceDE/>
        <w:autoSpaceDN/>
        <w:adjustRightInd w:val="0"/>
        <w:rPr>
          <w:rFonts w:ascii="Arial" w:eastAsia="Calibri" w:hAnsi="Arial" w:cs="Arial"/>
          <w:color w:val="FF0000"/>
          <w:sz w:val="22"/>
          <w:szCs w:val="22"/>
          <w:lang w:eastAsia="en-GB"/>
        </w:rPr>
      </w:pPr>
    </w:p>
    <w:p w14:paraId="331ACB03" w14:textId="77777777" w:rsidR="00FF06E0" w:rsidRPr="00FF06E0" w:rsidRDefault="00FF06E0" w:rsidP="00FF06E0">
      <w:pPr>
        <w:autoSpaceDE/>
        <w:autoSpaceDN/>
        <w:rPr>
          <w:rFonts w:ascii="Arial" w:eastAsia="Calibri" w:hAnsi="Arial" w:cs="Arial"/>
          <w:b/>
          <w:sz w:val="22"/>
          <w:szCs w:val="22"/>
        </w:rPr>
      </w:pPr>
      <w:r w:rsidRPr="00FF06E0">
        <w:rPr>
          <w:rFonts w:ascii="Arial" w:eastAsia="Calibri" w:hAnsi="Arial" w:cs="Arial"/>
          <w:b/>
          <w:sz w:val="22"/>
          <w:szCs w:val="22"/>
        </w:rPr>
        <w:t>ii. Strategic Access Management and Monitoring (SAMM) Contribution</w:t>
      </w:r>
    </w:p>
    <w:p w14:paraId="25EB0FD4" w14:textId="77777777" w:rsidR="00FF06E0" w:rsidRPr="00FF06E0" w:rsidRDefault="00FF06E0" w:rsidP="00FF06E0">
      <w:pPr>
        <w:autoSpaceDE/>
        <w:autoSpaceDN/>
        <w:rPr>
          <w:rFonts w:ascii="Arial" w:eastAsia="Calibri" w:hAnsi="Arial" w:cs="Arial"/>
          <w:b/>
          <w:sz w:val="22"/>
          <w:szCs w:val="22"/>
        </w:rPr>
      </w:pPr>
    </w:p>
    <w:p w14:paraId="45CAF468" w14:textId="77777777" w:rsidR="00FF06E0" w:rsidRPr="00FF06E0" w:rsidRDefault="00FF06E0" w:rsidP="00FF06E0">
      <w:pPr>
        <w:autoSpaceDE/>
        <w:autoSpaceDN/>
        <w:rPr>
          <w:rFonts w:ascii="Arial" w:eastAsia="Calibri" w:hAnsi="Arial" w:cs="Arial"/>
          <w:bCs/>
          <w:sz w:val="22"/>
          <w:szCs w:val="22"/>
        </w:rPr>
      </w:pPr>
      <w:r w:rsidRPr="00FF06E0">
        <w:rPr>
          <w:rFonts w:ascii="Arial" w:eastAsia="Calibri" w:hAnsi="Arial" w:cs="Arial"/>
          <w:color w:val="000000"/>
          <w:sz w:val="22"/>
          <w:szCs w:val="22"/>
          <w:lang w:eastAsia="en-GB"/>
        </w:rPr>
        <w:t xml:space="preserve">The development will also be required to </w:t>
      </w:r>
      <w:proofErr w:type="gramStart"/>
      <w:r w:rsidRPr="00FF06E0">
        <w:rPr>
          <w:rFonts w:ascii="Arial" w:eastAsia="Calibri" w:hAnsi="Arial" w:cs="Arial"/>
          <w:color w:val="000000"/>
          <w:sz w:val="22"/>
          <w:szCs w:val="22"/>
          <w:lang w:eastAsia="en-GB"/>
        </w:rPr>
        <w:t>make a contribution</w:t>
      </w:r>
      <w:proofErr w:type="gramEnd"/>
      <w:r w:rsidRPr="00FF06E0">
        <w:rPr>
          <w:rFonts w:ascii="Arial" w:eastAsia="Calibri" w:hAnsi="Arial" w:cs="Arial"/>
          <w:color w:val="000000"/>
          <w:sz w:val="22"/>
          <w:szCs w:val="22"/>
          <w:lang w:eastAsia="en-GB"/>
        </w:rPr>
        <w:t xml:space="preserve"> towards </w:t>
      </w:r>
      <w:r w:rsidRPr="00FF06E0">
        <w:rPr>
          <w:rFonts w:ascii="Arial" w:eastAsia="Calibri" w:hAnsi="Arial" w:cs="Arial"/>
          <w:bCs/>
          <w:sz w:val="22"/>
          <w:szCs w:val="22"/>
        </w:rPr>
        <w:t xml:space="preserve">Strategic Access Management and Monitoring (SAMM). This project funds strategic visitor access management measures on the SPA to mitigate the effects of new development on it. See the SPA SPD for more information. </w:t>
      </w:r>
    </w:p>
    <w:p w14:paraId="160F230F" w14:textId="77777777" w:rsidR="00FF06E0" w:rsidRPr="00FF06E0" w:rsidRDefault="00FF06E0" w:rsidP="00FF06E0">
      <w:pPr>
        <w:autoSpaceDE/>
        <w:autoSpaceDN/>
        <w:rPr>
          <w:rFonts w:ascii="Arial" w:eastAsia="Calibri" w:hAnsi="Arial" w:cs="Arial"/>
          <w:bCs/>
          <w:sz w:val="22"/>
          <w:szCs w:val="22"/>
        </w:rPr>
      </w:pPr>
    </w:p>
    <w:p w14:paraId="5DC0B1CA" w14:textId="3525328D"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bCs/>
          <w:sz w:val="22"/>
          <w:szCs w:val="22"/>
        </w:rPr>
        <w:t xml:space="preserve">The level of contributions </w:t>
      </w:r>
      <w:proofErr w:type="gramStart"/>
      <w:r w:rsidRPr="00FF06E0">
        <w:rPr>
          <w:rFonts w:ascii="Arial" w:eastAsia="Calibri" w:hAnsi="Arial" w:cs="Arial"/>
          <w:bCs/>
          <w:sz w:val="22"/>
          <w:szCs w:val="22"/>
        </w:rPr>
        <w:t>are</w:t>
      </w:r>
      <w:proofErr w:type="gramEnd"/>
      <w:r w:rsidRPr="00FF06E0">
        <w:rPr>
          <w:rFonts w:ascii="Arial" w:eastAsia="Calibri" w:hAnsi="Arial" w:cs="Arial"/>
          <w:bCs/>
          <w:sz w:val="22"/>
          <w:szCs w:val="22"/>
        </w:rPr>
        <w:t xml:space="preserve"> calculated on a per bedroom basis as</w:t>
      </w:r>
      <w:r w:rsidRPr="00FF06E0">
        <w:rPr>
          <w:rFonts w:ascii="Arial" w:eastAsia="Calibri" w:hAnsi="Arial" w:cs="Arial"/>
          <w:sz w:val="22"/>
          <w:szCs w:val="22"/>
        </w:rPr>
        <w:t xml:space="preserve"> set out in the SPA SPD Summary Table 1. </w:t>
      </w:r>
      <w:r w:rsidRPr="00FF06E0">
        <w:rPr>
          <w:rFonts w:ascii="Arial" w:eastAsia="Calibri" w:hAnsi="Arial" w:cs="Arial"/>
          <w:bCs/>
          <w:sz w:val="22"/>
          <w:szCs w:val="22"/>
        </w:rPr>
        <w:t xml:space="preserve"> The application for this development is </w:t>
      </w:r>
      <w:bookmarkStart w:id="3" w:name="_Hlk56578494"/>
      <w:r w:rsidRPr="00FF06E0">
        <w:rPr>
          <w:rFonts w:ascii="Arial" w:eastAsia="Calibri" w:hAnsi="Arial" w:cs="Arial"/>
          <w:bCs/>
          <w:sz w:val="22"/>
          <w:szCs w:val="22"/>
        </w:rPr>
        <w:t xml:space="preserve">for </w:t>
      </w:r>
      <w:bookmarkEnd w:id="3"/>
      <w:r w:rsidRPr="00FF06E0">
        <w:rPr>
          <w:rFonts w:ascii="Arial" w:eastAsia="Calibri" w:hAnsi="Arial" w:cs="Arial"/>
          <w:b/>
          <w:color w:val="000000"/>
          <w:sz w:val="22"/>
          <w:szCs w:val="22"/>
        </w:rPr>
        <w:t>three x 1-bedroom dwellings and</w:t>
      </w:r>
      <w:r>
        <w:rPr>
          <w:rFonts w:ascii="Arial" w:eastAsia="Calibri" w:hAnsi="Arial" w:cs="Arial"/>
          <w:b/>
          <w:color w:val="000000"/>
          <w:sz w:val="22"/>
          <w:szCs w:val="22"/>
        </w:rPr>
        <w:t xml:space="preserve"> twelve</w:t>
      </w:r>
      <w:r w:rsidRPr="00FF06E0">
        <w:rPr>
          <w:rFonts w:ascii="Arial" w:eastAsia="Calibri" w:hAnsi="Arial" w:cs="Arial"/>
          <w:b/>
          <w:color w:val="000000"/>
          <w:sz w:val="22"/>
          <w:szCs w:val="22"/>
        </w:rPr>
        <w:t xml:space="preserve"> x 2 –bedroom dwellings</w:t>
      </w:r>
      <w:r>
        <w:rPr>
          <w:rFonts w:ascii="Arial" w:eastAsia="Calibri" w:hAnsi="Arial" w:cs="Arial"/>
          <w:b/>
          <w:color w:val="000000"/>
          <w:sz w:val="22"/>
          <w:szCs w:val="22"/>
        </w:rPr>
        <w:t xml:space="preserve"> replacing the existing 3 -bedroom dwelling</w:t>
      </w:r>
      <w:r w:rsidRPr="00FF06E0">
        <w:rPr>
          <w:rFonts w:ascii="Arial" w:eastAsia="Calibri" w:hAnsi="Arial" w:cs="Arial"/>
          <w:bCs/>
          <w:sz w:val="22"/>
          <w:szCs w:val="22"/>
        </w:rPr>
        <w:t xml:space="preserve">.  </w:t>
      </w:r>
      <w:r w:rsidRPr="00FF06E0">
        <w:rPr>
          <w:rFonts w:ascii="Arial" w:eastAsia="Calibri" w:hAnsi="Arial" w:cs="Arial"/>
          <w:sz w:val="22"/>
          <w:szCs w:val="22"/>
        </w:rPr>
        <w:t xml:space="preserve">Depending on the dwelling mix, the level of SAMM payments are </w:t>
      </w:r>
      <w:r w:rsidRPr="00FF06E0">
        <w:rPr>
          <w:rFonts w:ascii="Arial" w:eastAsia="Calibri" w:hAnsi="Arial" w:cs="Arial"/>
          <w:bCs/>
          <w:sz w:val="22"/>
          <w:szCs w:val="22"/>
        </w:rPr>
        <w:t>calculated as follows:</w:t>
      </w:r>
    </w:p>
    <w:p w14:paraId="44718D31" w14:textId="77777777" w:rsidR="00FF06E0" w:rsidRPr="00FF06E0" w:rsidRDefault="00FF06E0" w:rsidP="00FF06E0">
      <w:pPr>
        <w:autoSpaceDE/>
        <w:autoSpaceDN/>
        <w:ind w:left="360"/>
        <w:rPr>
          <w:rFonts w:ascii="Arial" w:eastAsia="Calibri" w:hAnsi="Arial" w:cs="Arial"/>
          <w:sz w:val="22"/>
          <w:szCs w:val="22"/>
        </w:rPr>
      </w:pPr>
    </w:p>
    <w:tbl>
      <w:tblPr>
        <w:tblW w:w="4778"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000" w:firstRow="0" w:lastRow="0" w:firstColumn="0" w:lastColumn="0" w:noHBand="0" w:noVBand="0"/>
      </w:tblPr>
      <w:tblGrid>
        <w:gridCol w:w="2405"/>
        <w:gridCol w:w="2333"/>
        <w:gridCol w:w="5540"/>
      </w:tblGrid>
      <w:tr w:rsidR="00FF06E0" w:rsidRPr="00FF06E0" w14:paraId="038AC298" w14:textId="77777777" w:rsidTr="00BF5DF8">
        <w:tc>
          <w:tcPr>
            <w:tcW w:w="1170" w:type="pct"/>
            <w:tcBorders>
              <w:top w:val="single" w:sz="6" w:space="0" w:color="808080"/>
              <w:bottom w:val="single" w:sz="6" w:space="0" w:color="808080"/>
              <w:right w:val="single" w:sz="6" w:space="0" w:color="808080"/>
            </w:tcBorders>
            <w:shd w:val="clear" w:color="auto" w:fill="FFFFFF"/>
            <w:vAlign w:val="center"/>
          </w:tcPr>
          <w:p w14:paraId="53425F7A"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 xml:space="preserve">No. of </w:t>
            </w:r>
            <w:r w:rsidRPr="00FF06E0">
              <w:rPr>
                <w:rFonts w:ascii="Arial" w:eastAsia="Calibri" w:hAnsi="Arial" w:cs="Arial"/>
                <w:color w:val="333333"/>
                <w:sz w:val="22"/>
                <w:szCs w:val="22"/>
                <w:lang w:eastAsia="en-GB"/>
              </w:rPr>
              <w:br/>
              <w:t xml:space="preserve">bedrooms </w:t>
            </w:r>
          </w:p>
        </w:tc>
        <w:tc>
          <w:tcPr>
            <w:tcW w:w="1135"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4559A85"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SAMM</w:t>
            </w:r>
            <w:r w:rsidRPr="00FF06E0">
              <w:rPr>
                <w:rFonts w:ascii="Arial" w:eastAsia="Calibri" w:hAnsi="Arial" w:cs="Arial"/>
                <w:color w:val="333333"/>
                <w:sz w:val="22"/>
                <w:szCs w:val="22"/>
                <w:lang w:eastAsia="en-GB"/>
              </w:rPr>
              <w:br/>
              <w:t>Contribution</w:t>
            </w:r>
          </w:p>
        </w:tc>
        <w:tc>
          <w:tcPr>
            <w:tcW w:w="2695" w:type="pct"/>
            <w:tcBorders>
              <w:top w:val="single" w:sz="6" w:space="0" w:color="808080"/>
              <w:left w:val="single" w:sz="6" w:space="0" w:color="808080"/>
              <w:bottom w:val="single" w:sz="6" w:space="0" w:color="808080"/>
            </w:tcBorders>
            <w:shd w:val="clear" w:color="auto" w:fill="FFFFFF"/>
            <w:vAlign w:val="center"/>
          </w:tcPr>
          <w:p w14:paraId="5315B9EE"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Aggregate SAMM</w:t>
            </w:r>
            <w:r w:rsidRPr="00FF06E0">
              <w:rPr>
                <w:rFonts w:ascii="Arial" w:eastAsia="Calibri" w:hAnsi="Arial" w:cs="Arial"/>
                <w:color w:val="333333"/>
                <w:sz w:val="22"/>
                <w:szCs w:val="22"/>
                <w:lang w:eastAsia="en-GB"/>
              </w:rPr>
              <w:br/>
              <w:t xml:space="preserve">Contribution </w:t>
            </w:r>
          </w:p>
        </w:tc>
      </w:tr>
      <w:tr w:rsidR="00FF06E0" w:rsidRPr="00FF06E0" w14:paraId="132EC331" w14:textId="77777777" w:rsidTr="00BF5DF8">
        <w:tc>
          <w:tcPr>
            <w:tcW w:w="1170" w:type="pct"/>
            <w:tcBorders>
              <w:top w:val="single" w:sz="6" w:space="0" w:color="808080"/>
              <w:bottom w:val="single" w:sz="6" w:space="0" w:color="808080"/>
              <w:right w:val="single" w:sz="6" w:space="0" w:color="808080"/>
            </w:tcBorders>
            <w:vAlign w:val="center"/>
          </w:tcPr>
          <w:p w14:paraId="7D58009B"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 xml:space="preserve">1 bedroom </w:t>
            </w:r>
          </w:p>
        </w:tc>
        <w:tc>
          <w:tcPr>
            <w:tcW w:w="1135" w:type="pct"/>
            <w:tcBorders>
              <w:top w:val="single" w:sz="6" w:space="0" w:color="808080"/>
              <w:left w:val="single" w:sz="6" w:space="0" w:color="808080"/>
              <w:bottom w:val="single" w:sz="6" w:space="0" w:color="808080"/>
              <w:right w:val="single" w:sz="6" w:space="0" w:color="808080"/>
            </w:tcBorders>
            <w:vAlign w:val="center"/>
          </w:tcPr>
          <w:p w14:paraId="341C2DC6"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£399</w:t>
            </w:r>
          </w:p>
        </w:tc>
        <w:tc>
          <w:tcPr>
            <w:tcW w:w="2695" w:type="pct"/>
            <w:tcBorders>
              <w:top w:val="single" w:sz="6" w:space="0" w:color="808080"/>
              <w:left w:val="single" w:sz="6" w:space="0" w:color="808080"/>
              <w:bottom w:val="single" w:sz="6" w:space="0" w:color="808080"/>
            </w:tcBorders>
            <w:vAlign w:val="center"/>
          </w:tcPr>
          <w:p w14:paraId="3814DB53"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sz w:val="22"/>
                <w:szCs w:val="22"/>
                <w:lang w:eastAsia="en-GB"/>
              </w:rPr>
              <w:t>3 X £399</w:t>
            </w:r>
          </w:p>
        </w:tc>
      </w:tr>
      <w:tr w:rsidR="00FF06E0" w:rsidRPr="00FF06E0" w14:paraId="08CCD7C4" w14:textId="77777777" w:rsidTr="00BF5DF8">
        <w:tc>
          <w:tcPr>
            <w:tcW w:w="1170" w:type="pct"/>
            <w:tcBorders>
              <w:top w:val="single" w:sz="6" w:space="0" w:color="808080"/>
              <w:bottom w:val="single" w:sz="6" w:space="0" w:color="808080"/>
              <w:right w:val="single" w:sz="6" w:space="0" w:color="808080"/>
            </w:tcBorders>
            <w:vAlign w:val="center"/>
          </w:tcPr>
          <w:p w14:paraId="0402DF95"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lastRenderedPageBreak/>
              <w:t xml:space="preserve">2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7D48141E"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£526</w:t>
            </w:r>
          </w:p>
        </w:tc>
        <w:tc>
          <w:tcPr>
            <w:tcW w:w="2695" w:type="pct"/>
            <w:tcBorders>
              <w:top w:val="single" w:sz="6" w:space="0" w:color="808080"/>
              <w:left w:val="single" w:sz="6" w:space="0" w:color="808080"/>
              <w:bottom w:val="single" w:sz="6" w:space="0" w:color="808080"/>
            </w:tcBorders>
            <w:vAlign w:val="center"/>
          </w:tcPr>
          <w:p w14:paraId="5138BD8E" w14:textId="347DF70A" w:rsidR="00FF06E0" w:rsidRPr="00FF06E0" w:rsidRDefault="00FF06E0" w:rsidP="00BF5DF8">
            <w:pPr>
              <w:autoSpaceDE/>
              <w:autoSpaceDN/>
              <w:jc w:val="center"/>
              <w:rPr>
                <w:rFonts w:ascii="Arial" w:eastAsia="Calibri" w:hAnsi="Arial" w:cs="Arial"/>
                <w:color w:val="333333"/>
                <w:sz w:val="22"/>
                <w:szCs w:val="22"/>
                <w:lang w:eastAsia="en-GB"/>
              </w:rPr>
            </w:pPr>
            <w:r>
              <w:rPr>
                <w:rFonts w:ascii="Arial" w:eastAsia="Calibri" w:hAnsi="Arial" w:cs="Arial"/>
                <w:color w:val="333333"/>
                <w:sz w:val="22"/>
                <w:szCs w:val="22"/>
                <w:lang w:eastAsia="en-GB"/>
              </w:rPr>
              <w:t xml:space="preserve">12 </w:t>
            </w:r>
            <w:r w:rsidRPr="00FF06E0">
              <w:rPr>
                <w:rFonts w:ascii="Arial" w:eastAsia="Calibri" w:hAnsi="Arial" w:cs="Arial"/>
                <w:color w:val="333333"/>
                <w:sz w:val="22"/>
                <w:szCs w:val="22"/>
                <w:lang w:eastAsia="en-GB"/>
              </w:rPr>
              <w:t>X £526</w:t>
            </w:r>
          </w:p>
        </w:tc>
      </w:tr>
      <w:tr w:rsidR="00FF06E0" w:rsidRPr="00FF06E0" w14:paraId="0CED2C5F" w14:textId="77777777" w:rsidTr="00BF5DF8">
        <w:tc>
          <w:tcPr>
            <w:tcW w:w="1170" w:type="pct"/>
            <w:tcBorders>
              <w:top w:val="single" w:sz="6" w:space="0" w:color="808080"/>
              <w:bottom w:val="single" w:sz="6" w:space="0" w:color="808080"/>
              <w:right w:val="single" w:sz="6" w:space="0" w:color="808080"/>
            </w:tcBorders>
            <w:vAlign w:val="center"/>
          </w:tcPr>
          <w:p w14:paraId="357E3240"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 xml:space="preserve">3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455A95FE"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£711</w:t>
            </w:r>
          </w:p>
        </w:tc>
        <w:tc>
          <w:tcPr>
            <w:tcW w:w="2695" w:type="pct"/>
            <w:tcBorders>
              <w:top w:val="single" w:sz="6" w:space="0" w:color="808080"/>
              <w:left w:val="single" w:sz="6" w:space="0" w:color="808080"/>
              <w:bottom w:val="single" w:sz="6" w:space="0" w:color="808080"/>
            </w:tcBorders>
          </w:tcPr>
          <w:p w14:paraId="3F391BD2" w14:textId="5A0C1180" w:rsidR="00FF06E0" w:rsidRPr="00FF06E0" w:rsidRDefault="00FF06E0" w:rsidP="00FF06E0">
            <w:pPr>
              <w:autoSpaceDE/>
              <w:autoSpaceDN/>
              <w:ind w:left="720"/>
              <w:rPr>
                <w:rFonts w:ascii="Arial" w:eastAsia="Calibri" w:hAnsi="Arial" w:cs="Arial"/>
                <w:sz w:val="22"/>
                <w:szCs w:val="22"/>
              </w:rPr>
            </w:pPr>
            <w:r>
              <w:rPr>
                <w:rFonts w:ascii="Arial" w:eastAsia="Calibri" w:hAnsi="Arial" w:cs="Arial"/>
                <w:color w:val="333333"/>
                <w:sz w:val="22"/>
                <w:szCs w:val="22"/>
                <w:lang w:eastAsia="en-GB"/>
              </w:rPr>
              <w:t xml:space="preserve">                             -</w:t>
            </w:r>
            <w:r w:rsidRPr="00FF06E0">
              <w:rPr>
                <w:rFonts w:ascii="Arial" w:eastAsia="Calibri" w:hAnsi="Arial" w:cs="Arial"/>
                <w:color w:val="333333"/>
                <w:sz w:val="22"/>
                <w:szCs w:val="22"/>
                <w:lang w:eastAsia="en-GB"/>
              </w:rPr>
              <w:t>£</w:t>
            </w:r>
            <w:r>
              <w:rPr>
                <w:rFonts w:ascii="Arial" w:eastAsia="Calibri" w:hAnsi="Arial" w:cs="Arial"/>
                <w:color w:val="333333"/>
                <w:sz w:val="22"/>
                <w:szCs w:val="22"/>
                <w:lang w:eastAsia="en-GB"/>
              </w:rPr>
              <w:t>711</w:t>
            </w:r>
          </w:p>
        </w:tc>
      </w:tr>
      <w:tr w:rsidR="00FF06E0" w:rsidRPr="00FF06E0" w14:paraId="451EE9FB" w14:textId="77777777" w:rsidTr="00BF5DF8">
        <w:tc>
          <w:tcPr>
            <w:tcW w:w="1170" w:type="pct"/>
            <w:tcBorders>
              <w:top w:val="single" w:sz="6" w:space="0" w:color="808080"/>
              <w:bottom w:val="single" w:sz="6" w:space="0" w:color="808080"/>
              <w:right w:val="single" w:sz="6" w:space="0" w:color="808080"/>
            </w:tcBorders>
            <w:vAlign w:val="center"/>
          </w:tcPr>
          <w:p w14:paraId="01CBED44"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 xml:space="preserve">4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0759F863"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£807</w:t>
            </w:r>
          </w:p>
        </w:tc>
        <w:tc>
          <w:tcPr>
            <w:tcW w:w="2695" w:type="pct"/>
            <w:tcBorders>
              <w:top w:val="single" w:sz="6" w:space="0" w:color="808080"/>
              <w:left w:val="single" w:sz="6" w:space="0" w:color="808080"/>
              <w:bottom w:val="single" w:sz="6" w:space="0" w:color="808080"/>
            </w:tcBorders>
          </w:tcPr>
          <w:p w14:paraId="219AA7AA"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color w:val="333333"/>
                <w:sz w:val="22"/>
                <w:szCs w:val="22"/>
                <w:lang w:eastAsia="en-GB"/>
              </w:rPr>
              <w:t>£0</w:t>
            </w:r>
          </w:p>
        </w:tc>
      </w:tr>
      <w:tr w:rsidR="00FF06E0" w:rsidRPr="00FF06E0" w14:paraId="185C985F" w14:textId="77777777" w:rsidTr="00BF5DF8">
        <w:tc>
          <w:tcPr>
            <w:tcW w:w="1170" w:type="pct"/>
            <w:tcBorders>
              <w:top w:val="single" w:sz="6" w:space="0" w:color="808080"/>
              <w:bottom w:val="single" w:sz="6" w:space="0" w:color="808080"/>
              <w:right w:val="single" w:sz="6" w:space="0" w:color="808080"/>
            </w:tcBorders>
            <w:vAlign w:val="center"/>
          </w:tcPr>
          <w:p w14:paraId="4E032CD8"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 xml:space="preserve">5+ bedrooms </w:t>
            </w:r>
          </w:p>
        </w:tc>
        <w:tc>
          <w:tcPr>
            <w:tcW w:w="1135" w:type="pct"/>
            <w:tcBorders>
              <w:top w:val="single" w:sz="6" w:space="0" w:color="808080"/>
              <w:left w:val="single" w:sz="6" w:space="0" w:color="808080"/>
              <w:bottom w:val="single" w:sz="6" w:space="0" w:color="808080"/>
              <w:right w:val="single" w:sz="6" w:space="0" w:color="808080"/>
            </w:tcBorders>
            <w:vAlign w:val="center"/>
          </w:tcPr>
          <w:p w14:paraId="6ADC36C7"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£1,052</w:t>
            </w:r>
          </w:p>
        </w:tc>
        <w:tc>
          <w:tcPr>
            <w:tcW w:w="2695" w:type="pct"/>
            <w:tcBorders>
              <w:top w:val="single" w:sz="6" w:space="0" w:color="808080"/>
              <w:left w:val="single" w:sz="6" w:space="0" w:color="808080"/>
              <w:bottom w:val="single" w:sz="6" w:space="0" w:color="808080"/>
            </w:tcBorders>
          </w:tcPr>
          <w:p w14:paraId="1D2E681B" w14:textId="77777777" w:rsidR="00FF06E0" w:rsidRPr="00FF06E0" w:rsidRDefault="00FF06E0" w:rsidP="00BF5DF8">
            <w:pPr>
              <w:autoSpaceDE/>
              <w:autoSpaceDN/>
              <w:jc w:val="center"/>
              <w:rPr>
                <w:rFonts w:ascii="Arial" w:eastAsia="Calibri" w:hAnsi="Arial" w:cs="Arial"/>
                <w:sz w:val="22"/>
                <w:szCs w:val="22"/>
              </w:rPr>
            </w:pPr>
            <w:r w:rsidRPr="00FF06E0">
              <w:rPr>
                <w:rFonts w:ascii="Arial" w:eastAsia="Calibri" w:hAnsi="Arial" w:cs="Arial"/>
                <w:color w:val="333333"/>
                <w:sz w:val="22"/>
                <w:szCs w:val="22"/>
                <w:lang w:eastAsia="en-GB"/>
              </w:rPr>
              <w:t>£0</w:t>
            </w:r>
          </w:p>
        </w:tc>
      </w:tr>
      <w:tr w:rsidR="00FF06E0" w:rsidRPr="00FF06E0" w14:paraId="76CF5641" w14:textId="77777777" w:rsidTr="00BF5DF8">
        <w:tc>
          <w:tcPr>
            <w:tcW w:w="2305" w:type="pct"/>
            <w:gridSpan w:val="2"/>
            <w:tcBorders>
              <w:top w:val="single" w:sz="6" w:space="0" w:color="808080"/>
              <w:bottom w:val="single" w:sz="6" w:space="0" w:color="808080"/>
              <w:right w:val="single" w:sz="6" w:space="0" w:color="808080"/>
            </w:tcBorders>
            <w:vAlign w:val="center"/>
          </w:tcPr>
          <w:p w14:paraId="334E2FB5" w14:textId="77777777" w:rsidR="00FF06E0" w:rsidRPr="00FF06E0" w:rsidRDefault="00FF06E0" w:rsidP="00BF5DF8">
            <w:pPr>
              <w:autoSpaceDE/>
              <w:autoSpaceDN/>
              <w:jc w:val="center"/>
              <w:rPr>
                <w:rFonts w:ascii="Arial" w:eastAsia="Calibri" w:hAnsi="Arial" w:cs="Arial"/>
                <w:color w:val="333333"/>
                <w:sz w:val="22"/>
                <w:szCs w:val="22"/>
                <w:lang w:eastAsia="en-GB"/>
              </w:rPr>
            </w:pPr>
            <w:r w:rsidRPr="00FF06E0">
              <w:rPr>
                <w:rFonts w:ascii="Arial" w:eastAsia="Calibri" w:hAnsi="Arial" w:cs="Arial"/>
                <w:color w:val="333333"/>
                <w:sz w:val="22"/>
                <w:szCs w:val="22"/>
                <w:lang w:eastAsia="en-GB"/>
              </w:rPr>
              <w:t>Total SAMM Contribution</w:t>
            </w:r>
          </w:p>
        </w:tc>
        <w:tc>
          <w:tcPr>
            <w:tcW w:w="2695" w:type="pct"/>
            <w:tcBorders>
              <w:top w:val="single" w:sz="6" w:space="0" w:color="808080"/>
              <w:left w:val="single" w:sz="6" w:space="0" w:color="808080"/>
              <w:bottom w:val="single" w:sz="6" w:space="0" w:color="808080"/>
            </w:tcBorders>
            <w:vAlign w:val="center"/>
          </w:tcPr>
          <w:p w14:paraId="5988F943" w14:textId="011C7B81" w:rsidR="00FF06E0" w:rsidRPr="00FF06E0" w:rsidRDefault="00FF06E0" w:rsidP="00BF5DF8">
            <w:pPr>
              <w:autoSpaceDE/>
              <w:autoSpaceDN/>
              <w:jc w:val="center"/>
              <w:rPr>
                <w:rFonts w:ascii="Arial" w:eastAsia="Calibri" w:hAnsi="Arial" w:cs="Arial"/>
                <w:b/>
                <w:color w:val="333333"/>
                <w:sz w:val="22"/>
                <w:szCs w:val="22"/>
                <w:lang w:eastAsia="en-GB"/>
              </w:rPr>
            </w:pPr>
            <w:r w:rsidRPr="00FF06E0">
              <w:rPr>
                <w:rFonts w:ascii="Arial" w:eastAsia="Calibri" w:hAnsi="Arial" w:cs="Arial"/>
                <w:b/>
                <w:sz w:val="22"/>
                <w:szCs w:val="22"/>
                <w:lang w:eastAsia="en-GB"/>
              </w:rPr>
              <w:t>£</w:t>
            </w:r>
            <w:r>
              <w:rPr>
                <w:rFonts w:ascii="Arial" w:eastAsia="Calibri" w:hAnsi="Arial" w:cs="Arial"/>
                <w:b/>
                <w:sz w:val="22"/>
                <w:szCs w:val="22"/>
                <w:lang w:eastAsia="en-GB"/>
              </w:rPr>
              <w:t>6,798</w:t>
            </w:r>
          </w:p>
        </w:tc>
      </w:tr>
    </w:tbl>
    <w:p w14:paraId="0B2CF06E" w14:textId="77777777" w:rsidR="00FF06E0" w:rsidRPr="00FF06E0" w:rsidRDefault="00FF06E0" w:rsidP="00FF06E0">
      <w:pPr>
        <w:autoSpaceDE/>
        <w:autoSpaceDN/>
        <w:adjustRightInd w:val="0"/>
        <w:rPr>
          <w:rFonts w:ascii="Arial" w:eastAsia="Calibri" w:hAnsi="Arial" w:cs="Arial"/>
          <w:color w:val="000000"/>
          <w:sz w:val="22"/>
          <w:szCs w:val="22"/>
          <w:lang w:eastAsia="en-GB"/>
        </w:rPr>
      </w:pPr>
    </w:p>
    <w:p w14:paraId="56106654" w14:textId="3C9C855F" w:rsidR="00FF06E0" w:rsidRPr="00FF06E0" w:rsidRDefault="00FF06E0" w:rsidP="00FF06E0">
      <w:pPr>
        <w:autoSpaceDE/>
        <w:autoSpaceDN/>
        <w:spacing w:before="120"/>
        <w:rPr>
          <w:rFonts w:ascii="Arial" w:eastAsia="Calibri" w:hAnsi="Arial" w:cs="Arial"/>
          <w:b/>
          <w:sz w:val="22"/>
          <w:szCs w:val="22"/>
        </w:rPr>
      </w:pPr>
      <w:r w:rsidRPr="00FF06E0">
        <w:rPr>
          <w:rFonts w:ascii="Arial" w:eastAsia="Calibri" w:hAnsi="Arial" w:cs="Arial"/>
          <w:sz w:val="22"/>
          <w:szCs w:val="22"/>
        </w:rPr>
        <w:t xml:space="preserve">In summary, the total SPA related financial contribution applied through a section 106 agreement for this proposal is </w:t>
      </w:r>
      <w:r w:rsidRPr="00FF06E0">
        <w:rPr>
          <w:rFonts w:ascii="Arial" w:eastAsia="Calibri" w:hAnsi="Arial" w:cs="Arial"/>
          <w:b/>
          <w:sz w:val="22"/>
          <w:szCs w:val="22"/>
        </w:rPr>
        <w:t>£</w:t>
      </w:r>
      <w:r>
        <w:rPr>
          <w:rFonts w:ascii="Arial" w:eastAsia="Calibri" w:hAnsi="Arial" w:cs="Arial"/>
          <w:b/>
          <w:sz w:val="22"/>
          <w:szCs w:val="22"/>
        </w:rPr>
        <w:t>76,211</w:t>
      </w:r>
      <w:r w:rsidRPr="00FF06E0">
        <w:rPr>
          <w:rFonts w:ascii="Arial" w:eastAsia="Calibri" w:hAnsi="Arial" w:cs="Arial"/>
          <w:b/>
          <w:sz w:val="22"/>
          <w:szCs w:val="22"/>
        </w:rPr>
        <w:t xml:space="preserve"> (i.e. £</w:t>
      </w:r>
      <w:r>
        <w:rPr>
          <w:rFonts w:ascii="Arial" w:eastAsia="Calibri" w:hAnsi="Arial" w:cs="Arial"/>
          <w:b/>
          <w:sz w:val="22"/>
          <w:szCs w:val="22"/>
        </w:rPr>
        <w:t>6</w:t>
      </w:r>
      <w:r w:rsidRPr="00FF06E0">
        <w:rPr>
          <w:rFonts w:ascii="Arial" w:eastAsia="Calibri" w:hAnsi="Arial" w:cs="Arial"/>
          <w:b/>
          <w:sz w:val="22"/>
          <w:szCs w:val="22"/>
        </w:rPr>
        <w:t>9</w:t>
      </w:r>
      <w:r>
        <w:rPr>
          <w:rFonts w:ascii="Arial" w:eastAsia="Calibri" w:hAnsi="Arial" w:cs="Arial"/>
          <w:b/>
          <w:sz w:val="22"/>
          <w:szCs w:val="22"/>
        </w:rPr>
        <w:t>,413</w:t>
      </w:r>
      <w:r w:rsidRPr="00FF06E0">
        <w:rPr>
          <w:rFonts w:ascii="Arial" w:eastAsia="Calibri" w:hAnsi="Arial" w:cs="Arial"/>
          <w:b/>
          <w:sz w:val="22"/>
          <w:szCs w:val="22"/>
        </w:rPr>
        <w:t xml:space="preserve"> + £</w:t>
      </w:r>
      <w:r>
        <w:rPr>
          <w:rFonts w:ascii="Arial" w:eastAsia="Calibri" w:hAnsi="Arial" w:cs="Arial"/>
          <w:b/>
          <w:sz w:val="22"/>
          <w:szCs w:val="22"/>
        </w:rPr>
        <w:t>6,798</w:t>
      </w:r>
      <w:r w:rsidRPr="00FF06E0">
        <w:rPr>
          <w:rFonts w:ascii="Arial" w:eastAsia="Calibri" w:hAnsi="Arial" w:cs="Arial"/>
          <w:b/>
          <w:sz w:val="22"/>
          <w:szCs w:val="22"/>
        </w:rPr>
        <w:t xml:space="preserve">).  CIL contributions, where relevant, will be applied separately.  </w:t>
      </w:r>
    </w:p>
    <w:p w14:paraId="4E329176" w14:textId="77777777" w:rsidR="00FF06E0" w:rsidRPr="00FF06E0" w:rsidRDefault="00FF06E0" w:rsidP="00FF06E0">
      <w:pPr>
        <w:autoSpaceDE/>
        <w:autoSpaceDN/>
        <w:rPr>
          <w:rFonts w:ascii="Arial" w:eastAsia="Calibri" w:hAnsi="Arial" w:cs="Arial"/>
          <w:b/>
          <w:sz w:val="22"/>
          <w:szCs w:val="22"/>
          <w:u w:val="single"/>
        </w:rPr>
      </w:pPr>
    </w:p>
    <w:p w14:paraId="050339C2"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Prior to the permission being granted the applicant must enter into a Section 106 Agreement based upon the above measures.</w:t>
      </w:r>
    </w:p>
    <w:p w14:paraId="67CB6B71" w14:textId="77777777" w:rsidR="00FF06E0" w:rsidRPr="00D86986" w:rsidRDefault="00FF06E0" w:rsidP="00FF06E0">
      <w:pPr>
        <w:autoSpaceDE/>
        <w:autoSpaceDN/>
        <w:rPr>
          <w:rFonts w:ascii="Arial" w:eastAsia="Calibri" w:hAnsi="Arial" w:cs="Arial"/>
          <w:sz w:val="22"/>
          <w:szCs w:val="22"/>
        </w:rPr>
      </w:pPr>
    </w:p>
    <w:p w14:paraId="01E5AF16" w14:textId="77777777" w:rsidR="00FF06E0" w:rsidRPr="00D86986" w:rsidRDefault="00FF06E0" w:rsidP="00FF06E0">
      <w:pPr>
        <w:autoSpaceDE/>
        <w:autoSpaceDN/>
        <w:rPr>
          <w:rFonts w:ascii="Arial" w:eastAsia="Calibri" w:hAnsi="Arial" w:cs="Arial"/>
          <w:b/>
          <w:bCs/>
          <w:sz w:val="22"/>
          <w:szCs w:val="22"/>
        </w:rPr>
      </w:pPr>
      <w:r w:rsidRPr="00D86986">
        <w:rPr>
          <w:rFonts w:ascii="Arial" w:eastAsia="Calibri" w:hAnsi="Arial" w:cs="Arial"/>
          <w:b/>
          <w:bCs/>
          <w:sz w:val="22"/>
          <w:szCs w:val="22"/>
        </w:rPr>
        <w:t xml:space="preserve"> iii Air Quality</w:t>
      </w:r>
    </w:p>
    <w:p w14:paraId="637A9B15" w14:textId="77777777" w:rsidR="00FF06E0" w:rsidRPr="00D86986" w:rsidRDefault="00FF06E0" w:rsidP="00FF06E0">
      <w:pPr>
        <w:autoSpaceDE/>
        <w:autoSpaceDN/>
        <w:rPr>
          <w:rFonts w:ascii="Arial" w:eastAsia="Calibri" w:hAnsi="Arial" w:cs="Arial"/>
          <w:b/>
          <w:bCs/>
          <w:sz w:val="22"/>
          <w:szCs w:val="22"/>
        </w:rPr>
      </w:pPr>
    </w:p>
    <w:p w14:paraId="719C6865" w14:textId="77777777" w:rsidR="00FF06E0" w:rsidRPr="00D86986" w:rsidRDefault="00FF06E0" w:rsidP="00FF06E0">
      <w:pPr>
        <w:autoSpaceDE/>
        <w:autoSpaceDN/>
        <w:rPr>
          <w:rFonts w:ascii="Arial" w:eastAsia="Calibri" w:hAnsi="Arial" w:cs="Arial"/>
          <w:sz w:val="22"/>
          <w:szCs w:val="22"/>
        </w:rPr>
      </w:pPr>
      <w:r w:rsidRPr="00D86986">
        <w:rPr>
          <w:rFonts w:ascii="Arial" w:eastAsia="Calibri" w:hAnsi="Arial" w:cs="Arial"/>
          <w:sz w:val="22"/>
          <w:szCs w:val="22"/>
        </w:rPr>
        <w:t xml:space="preserve">No air quality avoidance and mitigation measures are required for this application. Please see section 3 above. </w:t>
      </w:r>
    </w:p>
    <w:p w14:paraId="185DCD86" w14:textId="77777777" w:rsidR="00FF06E0" w:rsidRPr="00D86986" w:rsidRDefault="00FF06E0" w:rsidP="00FF06E0">
      <w:pPr>
        <w:autoSpaceDE/>
        <w:autoSpaceDN/>
        <w:rPr>
          <w:rFonts w:ascii="Arial" w:eastAsia="Calibri" w:hAnsi="Arial" w:cs="Arial"/>
          <w:sz w:val="22"/>
          <w:szCs w:val="22"/>
        </w:rPr>
      </w:pPr>
    </w:p>
    <w:p w14:paraId="61A257A2" w14:textId="77777777" w:rsidR="00FF06E0" w:rsidRPr="00FF06E0" w:rsidRDefault="00FF06E0" w:rsidP="00FF06E0">
      <w:pPr>
        <w:autoSpaceDE/>
        <w:autoSpaceDN/>
        <w:rPr>
          <w:rFonts w:ascii="Arial" w:eastAsia="Calibri" w:hAnsi="Arial" w:cs="Arial"/>
          <w:b/>
          <w:sz w:val="22"/>
          <w:szCs w:val="22"/>
          <w:u w:val="single"/>
        </w:rPr>
      </w:pPr>
      <w:r w:rsidRPr="00FF06E0">
        <w:rPr>
          <w:rFonts w:ascii="Arial" w:eastAsia="Calibri" w:hAnsi="Arial" w:cs="Arial"/>
          <w:b/>
          <w:sz w:val="22"/>
          <w:szCs w:val="22"/>
          <w:u w:val="single"/>
        </w:rPr>
        <w:t>4.</w:t>
      </w:r>
      <w:r w:rsidRPr="00FF06E0">
        <w:rPr>
          <w:rFonts w:ascii="Arial" w:eastAsia="Calibri" w:hAnsi="Arial" w:cs="Arial"/>
          <w:b/>
          <w:sz w:val="22"/>
          <w:szCs w:val="22"/>
        </w:rPr>
        <w:t xml:space="preserve"> </w:t>
      </w:r>
      <w:r w:rsidRPr="00FF06E0">
        <w:rPr>
          <w:rFonts w:ascii="Arial" w:eastAsia="Calibri" w:hAnsi="Arial" w:cs="Arial"/>
          <w:b/>
          <w:sz w:val="22"/>
          <w:szCs w:val="22"/>
          <w:u w:val="single"/>
        </w:rPr>
        <w:t>Conclusion</w:t>
      </w:r>
    </w:p>
    <w:p w14:paraId="2C08C668" w14:textId="77777777" w:rsidR="00FF06E0" w:rsidRPr="00FF06E0" w:rsidRDefault="00FF06E0" w:rsidP="00FF06E0">
      <w:pPr>
        <w:autoSpaceDE/>
        <w:autoSpaceDN/>
        <w:adjustRightInd w:val="0"/>
        <w:rPr>
          <w:rFonts w:ascii="Arial" w:eastAsia="Calibri" w:hAnsi="Arial" w:cs="Arial"/>
          <w:b/>
          <w:color w:val="000000"/>
          <w:sz w:val="22"/>
          <w:szCs w:val="22"/>
          <w:u w:val="single"/>
          <w:lang w:eastAsia="en-GB"/>
        </w:rPr>
      </w:pPr>
    </w:p>
    <w:p w14:paraId="67B0547A" w14:textId="77777777"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sz w:val="22"/>
          <w:szCs w:val="22"/>
        </w:rPr>
        <w:t xml:space="preserve">An Appropriate Assessment is required for this development in accordance with the Habitats Regulations (2017 as amended).  Absent any appropriate avoidance and mitigation measures the Habitats Regulations Assessment will conclude that the development is likely to have a significant effect upon the integrity of European Sites with the result that the Council would be required to refuse a planning application.  </w:t>
      </w:r>
    </w:p>
    <w:p w14:paraId="72A5BE35" w14:textId="77777777" w:rsidR="00FF06E0" w:rsidRPr="00FF06E0" w:rsidRDefault="00FF06E0" w:rsidP="00FF06E0">
      <w:pPr>
        <w:autoSpaceDE/>
        <w:autoSpaceDN/>
        <w:rPr>
          <w:rFonts w:ascii="Arial" w:eastAsia="Calibri" w:hAnsi="Arial" w:cs="Arial"/>
          <w:sz w:val="22"/>
          <w:szCs w:val="22"/>
        </w:rPr>
      </w:pPr>
    </w:p>
    <w:p w14:paraId="5B7EFB0D" w14:textId="77777777"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sz w:val="22"/>
          <w:szCs w:val="21"/>
        </w:rPr>
        <w:t>Provided that t</w:t>
      </w:r>
      <w:r w:rsidRPr="00FF06E0">
        <w:rPr>
          <w:rFonts w:ascii="Arial" w:eastAsia="Calibri" w:hAnsi="Arial" w:cs="Arial"/>
          <w:sz w:val="22"/>
          <w:szCs w:val="22"/>
        </w:rPr>
        <w:t>he applicant is prepared to make a financial contribution (see section 3b above)</w:t>
      </w:r>
      <w:r w:rsidRPr="00FF06E0">
        <w:rPr>
          <w:rFonts w:ascii="Arial" w:eastAsia="Calibri" w:hAnsi="Arial" w:cs="Arial"/>
          <w:color w:val="FF0000"/>
          <w:sz w:val="22"/>
          <w:szCs w:val="22"/>
        </w:rPr>
        <w:t xml:space="preserve"> </w:t>
      </w:r>
      <w:r w:rsidRPr="00FF06E0">
        <w:rPr>
          <w:rFonts w:ascii="Arial" w:eastAsia="Calibri" w:hAnsi="Arial" w:cs="Arial"/>
          <w:sz w:val="22"/>
          <w:szCs w:val="22"/>
        </w:rPr>
        <w:t>towards the costs of SPA avoidance and mitigation measures, t</w:t>
      </w:r>
      <w:r w:rsidRPr="00FF06E0">
        <w:rPr>
          <w:rFonts w:ascii="Arial" w:eastAsia="Calibri" w:hAnsi="Arial" w:cs="Arial"/>
          <w:sz w:val="22"/>
          <w:szCs w:val="21"/>
          <w:lang w:eastAsia="en-GB"/>
        </w:rPr>
        <w:t>he application will be</w:t>
      </w:r>
      <w:r w:rsidRPr="00FF06E0">
        <w:rPr>
          <w:rFonts w:ascii="Arial" w:eastAsia="Calibri" w:hAnsi="Arial" w:cs="Arial"/>
          <w:color w:val="FF0000"/>
          <w:sz w:val="22"/>
          <w:szCs w:val="21"/>
          <w:lang w:eastAsia="en-GB"/>
        </w:rPr>
        <w:t xml:space="preserve"> </w:t>
      </w:r>
      <w:r w:rsidRPr="00FF06E0">
        <w:rPr>
          <w:rFonts w:ascii="Arial" w:eastAsia="Calibri" w:hAnsi="Arial" w:cs="Arial"/>
          <w:sz w:val="22"/>
          <w:szCs w:val="21"/>
          <w:lang w:eastAsia="en-GB"/>
        </w:rPr>
        <w:t>in accordance with the SPA mitigation requirements as set out in the relevant policies above and will therefore comply with the Habitats Regulations</w:t>
      </w:r>
      <w:r w:rsidRPr="00FF06E0">
        <w:rPr>
          <w:rFonts w:ascii="Arial" w:eastAsia="Calibri" w:hAnsi="Arial" w:cs="Arial"/>
          <w:sz w:val="22"/>
          <w:szCs w:val="21"/>
        </w:rPr>
        <w:t xml:space="preserve">.  </w:t>
      </w:r>
    </w:p>
    <w:p w14:paraId="31720F0B" w14:textId="77777777" w:rsidR="00FF06E0" w:rsidRPr="00FF06E0" w:rsidRDefault="00FF06E0" w:rsidP="00FF06E0">
      <w:pPr>
        <w:autoSpaceDE/>
        <w:autoSpaceDN/>
        <w:rPr>
          <w:rFonts w:ascii="Arial" w:eastAsia="Calibri" w:hAnsi="Arial" w:cs="Arial"/>
          <w:i/>
          <w:color w:val="FF0000"/>
          <w:sz w:val="22"/>
          <w:szCs w:val="22"/>
        </w:rPr>
      </w:pPr>
    </w:p>
    <w:p w14:paraId="7FB7F35B" w14:textId="77777777"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sz w:val="22"/>
          <w:szCs w:val="22"/>
        </w:rPr>
        <w:t>The Council is convinced, following consultation with Natural England, that the above measures will prevent an adverse effect on the integrity of the SPA. Pursuant to Article 6(3) of the Habitats Directive (Council Directive 92/43/EEC) and Regulation 63(5) of the Conservation of Habitats and Species Regulations (2017 as amended) permission may be granted.</w:t>
      </w:r>
    </w:p>
    <w:p w14:paraId="4EFFEC82" w14:textId="77777777" w:rsidR="00FF06E0" w:rsidRPr="00FF06E0" w:rsidRDefault="00FF06E0" w:rsidP="00FF06E0">
      <w:pPr>
        <w:autoSpaceDE/>
        <w:autoSpaceDN/>
        <w:rPr>
          <w:rFonts w:ascii="Arial" w:eastAsia="Calibri" w:hAnsi="Arial" w:cs="Arial"/>
          <w:sz w:val="22"/>
          <w:szCs w:val="22"/>
        </w:rPr>
      </w:pPr>
    </w:p>
    <w:p w14:paraId="4B211A35" w14:textId="77777777" w:rsidR="00FF06E0" w:rsidRPr="00FF06E0" w:rsidRDefault="00FF06E0" w:rsidP="00FF06E0">
      <w:pPr>
        <w:autoSpaceDE/>
        <w:autoSpaceDN/>
        <w:rPr>
          <w:rFonts w:ascii="Arial" w:eastAsia="Calibri" w:hAnsi="Arial" w:cs="Arial"/>
          <w:sz w:val="22"/>
          <w:szCs w:val="22"/>
        </w:rPr>
      </w:pPr>
      <w:r w:rsidRPr="00FF06E0">
        <w:rPr>
          <w:rFonts w:ascii="Arial" w:eastAsia="Calibri" w:hAnsi="Arial" w:cs="Arial"/>
          <w:sz w:val="22"/>
          <w:szCs w:val="22"/>
        </w:rPr>
        <w:t xml:space="preserve">If the applicant does not agree with the above mitigation and enter into a Section 106 Agreement to secure the </w:t>
      </w:r>
      <w:proofErr w:type="gramStart"/>
      <w:r w:rsidRPr="00FF06E0">
        <w:rPr>
          <w:rFonts w:ascii="Arial" w:eastAsia="Calibri" w:hAnsi="Arial" w:cs="Arial"/>
          <w:sz w:val="22"/>
          <w:szCs w:val="22"/>
        </w:rPr>
        <w:t>measures</w:t>
      </w:r>
      <w:proofErr w:type="gramEnd"/>
      <w:r w:rsidRPr="00FF06E0">
        <w:rPr>
          <w:rFonts w:ascii="Arial" w:eastAsia="Calibri" w:hAnsi="Arial" w:cs="Arial"/>
          <w:sz w:val="22"/>
          <w:szCs w:val="22"/>
        </w:rPr>
        <w:t xml:space="preserve"> then the application must be refused using the following reason for refusal. A monitoring fee of £480 is also required.</w:t>
      </w:r>
    </w:p>
    <w:p w14:paraId="4FF73B12" w14:textId="77777777" w:rsidR="00FF06E0" w:rsidRPr="00FF06E0" w:rsidRDefault="00FF06E0" w:rsidP="00FF06E0">
      <w:pPr>
        <w:autoSpaceDE/>
        <w:autoSpaceDN/>
        <w:rPr>
          <w:rFonts w:ascii="Arial" w:eastAsia="Calibri" w:hAnsi="Arial" w:cs="Arial"/>
          <w:sz w:val="22"/>
          <w:szCs w:val="22"/>
          <w:lang w:eastAsia="en-GB"/>
        </w:rPr>
      </w:pPr>
    </w:p>
    <w:p w14:paraId="5AA1F6E2" w14:textId="77777777" w:rsidR="00FF06E0" w:rsidRPr="00FF06E0" w:rsidRDefault="00FF06E0" w:rsidP="00FF06E0">
      <w:pPr>
        <w:autoSpaceDE/>
        <w:autoSpaceDN/>
        <w:rPr>
          <w:rFonts w:ascii="Arial" w:eastAsia="Calibri" w:hAnsi="Arial" w:cs="Arial"/>
          <w:b/>
          <w:sz w:val="22"/>
          <w:szCs w:val="22"/>
          <w:u w:val="single"/>
        </w:rPr>
      </w:pPr>
      <w:r w:rsidRPr="00FF06E0">
        <w:rPr>
          <w:rFonts w:ascii="Arial" w:eastAsia="Calibri" w:hAnsi="Arial" w:cs="Arial"/>
          <w:b/>
          <w:sz w:val="22"/>
          <w:szCs w:val="22"/>
          <w:u w:val="single"/>
        </w:rPr>
        <w:t>5.</w:t>
      </w:r>
      <w:r w:rsidRPr="00FF06E0">
        <w:rPr>
          <w:rFonts w:ascii="Arial" w:eastAsia="Calibri" w:hAnsi="Arial" w:cs="Arial"/>
          <w:b/>
          <w:sz w:val="22"/>
          <w:szCs w:val="22"/>
        </w:rPr>
        <w:t xml:space="preserve"> </w:t>
      </w:r>
      <w:r w:rsidRPr="00FF06E0">
        <w:rPr>
          <w:rFonts w:ascii="Arial" w:eastAsia="Calibri" w:hAnsi="Arial" w:cs="Arial"/>
          <w:b/>
          <w:sz w:val="22"/>
          <w:szCs w:val="22"/>
          <w:u w:val="single"/>
        </w:rPr>
        <w:t>Reasons for Refusal</w:t>
      </w:r>
    </w:p>
    <w:p w14:paraId="128911AC" w14:textId="77777777" w:rsidR="00FF06E0" w:rsidRPr="00FF06E0" w:rsidRDefault="00FF06E0" w:rsidP="00FF06E0">
      <w:pPr>
        <w:autoSpaceDE/>
        <w:autoSpaceDN/>
        <w:rPr>
          <w:rFonts w:ascii="Arial" w:eastAsia="Calibri" w:hAnsi="Arial" w:cs="Arial"/>
          <w:sz w:val="22"/>
          <w:szCs w:val="22"/>
        </w:rPr>
      </w:pPr>
    </w:p>
    <w:p w14:paraId="2F77B798" w14:textId="77777777" w:rsidR="00FF06E0" w:rsidRPr="00FF06E0" w:rsidRDefault="00FF06E0" w:rsidP="00FF06E0">
      <w:pPr>
        <w:autoSpaceDE/>
        <w:autoSpaceDN/>
        <w:rPr>
          <w:rFonts w:ascii="Arial" w:eastAsia="Calibri" w:hAnsi="Arial" w:cs="Arial"/>
          <w:b/>
          <w:sz w:val="22"/>
          <w:szCs w:val="22"/>
        </w:rPr>
      </w:pPr>
      <w:r w:rsidRPr="00FF06E0">
        <w:rPr>
          <w:rFonts w:ascii="Arial" w:eastAsia="Calibri" w:hAnsi="Arial" w:cs="Arial"/>
          <w:b/>
          <w:sz w:val="22"/>
          <w:szCs w:val="22"/>
        </w:rPr>
        <w:t xml:space="preserve">The occupants of the development would put extra pressure on the Thames Basin Heaths Special Protection Area and the proposal would not satisfactorily mitigate its impacts in this respect.  In the absence of a planning obligation to secure suitable avoidance and mitigation measures and access management monitoring arrangements, in terms that are satisfactory to the Local Planning Authority, the proposal would be contrary to </w:t>
      </w:r>
      <w:r w:rsidRPr="00FF06E0">
        <w:rPr>
          <w:rFonts w:ascii="Arial" w:eastAsia="Calibri" w:hAnsi="Arial" w:cs="Arial"/>
          <w:b/>
          <w:bCs/>
          <w:sz w:val="22"/>
          <w:szCs w:val="22"/>
        </w:rPr>
        <w:t>Article 6(3) of the Habitats Directive (Council Directive 92/43/EEC) and Regulation 63(5) of the Conservation of Habitats and Species Regulations (2017)</w:t>
      </w:r>
      <w:r w:rsidRPr="00FF06E0">
        <w:rPr>
          <w:rFonts w:ascii="Arial" w:eastAsia="Calibri" w:hAnsi="Arial" w:cs="Arial"/>
          <w:b/>
          <w:sz w:val="22"/>
          <w:szCs w:val="22"/>
        </w:rPr>
        <w:t xml:space="preserve"> as amended, Policy NRM6 of the South East Plan, Policy EN3 of the Bracknell Forest Borough Local Plan, Policy CS14 of the Core Strategy Development Plan Document, the Thames Basin Heaths Special Protection Area Supplementary Planning Document (2018).</w:t>
      </w:r>
    </w:p>
    <w:p w14:paraId="1ECB2055" w14:textId="77777777" w:rsidR="00FF06E0" w:rsidRPr="00D86986" w:rsidRDefault="00FF06E0" w:rsidP="00FF06E0">
      <w:pPr>
        <w:shd w:val="clear" w:color="auto" w:fill="FFFF99"/>
        <w:spacing w:before="120"/>
        <w:rPr>
          <w:rFonts w:ascii="Comic Sans MS" w:hAnsi="Comic Sans MS" w:cs="Comic Sans MS"/>
        </w:rPr>
      </w:pPr>
    </w:p>
    <w:p w14:paraId="0DA09315" w14:textId="77777777" w:rsidR="006B2092" w:rsidRDefault="006B2092">
      <w:pPr>
        <w:pStyle w:val="Header"/>
        <w:shd w:val="clear" w:color="auto" w:fill="FFFF99"/>
        <w:tabs>
          <w:tab w:val="clear" w:pos="4153"/>
          <w:tab w:val="clear" w:pos="8306"/>
        </w:tabs>
        <w:spacing w:before="120"/>
        <w:rPr>
          <w:rFonts w:ascii="Comic Sans MS" w:hAnsi="Comic Sans MS" w:cs="Comic Sans MS"/>
        </w:rPr>
      </w:pPr>
    </w:p>
    <w:tbl>
      <w:tblPr>
        <w:tblW w:w="1103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6"/>
        <w:gridCol w:w="9770"/>
      </w:tblGrid>
      <w:tr w:rsidR="006B2092" w14:paraId="1D6F9B7A" w14:textId="77777777">
        <w:trPr>
          <w:trHeight w:val="2697"/>
          <w:jc w:val="center"/>
        </w:trPr>
        <w:tc>
          <w:tcPr>
            <w:tcW w:w="1266" w:type="dxa"/>
            <w:tcBorders>
              <w:top w:val="single" w:sz="12" w:space="0" w:color="auto"/>
              <w:bottom w:val="single" w:sz="12" w:space="0" w:color="auto"/>
              <w:right w:val="nil"/>
            </w:tcBorders>
          </w:tcPr>
          <w:p w14:paraId="64374FEA" w14:textId="77777777" w:rsidR="006B2092" w:rsidRDefault="006B2092">
            <w:pPr>
              <w:spacing w:before="80" w:after="80"/>
              <w:rPr>
                <w:rFonts w:ascii="Arial" w:hAnsi="Arial" w:cs="Arial"/>
                <w:b/>
                <w:bCs/>
                <w:sz w:val="18"/>
                <w:szCs w:val="18"/>
              </w:rPr>
            </w:pPr>
            <w:r>
              <w:rPr>
                <w:rFonts w:ascii="Arial" w:hAnsi="Arial" w:cs="Arial"/>
                <w:b/>
                <w:bCs/>
                <w:sz w:val="18"/>
                <w:szCs w:val="18"/>
              </w:rPr>
              <w:lastRenderedPageBreak/>
              <w:t>Summary</w:t>
            </w:r>
          </w:p>
          <w:p w14:paraId="3901A232" w14:textId="77777777" w:rsidR="006B2092" w:rsidRDefault="006B2092">
            <w:pPr>
              <w:spacing w:before="80" w:after="80"/>
              <w:rPr>
                <w:rFonts w:ascii="Arial" w:hAnsi="Arial" w:cs="Arial"/>
                <w:i/>
                <w:iCs/>
                <w:sz w:val="16"/>
                <w:szCs w:val="16"/>
              </w:rPr>
            </w:pPr>
            <w:r>
              <w:rPr>
                <w:rFonts w:ascii="Arial" w:hAnsi="Arial" w:cs="Arial"/>
                <w:i/>
                <w:iCs/>
                <w:sz w:val="16"/>
                <w:szCs w:val="16"/>
              </w:rPr>
              <w:t>Consultee’s summary will be pasted into the Officers Report</w:t>
            </w:r>
          </w:p>
        </w:tc>
        <w:tc>
          <w:tcPr>
            <w:tcW w:w="9770" w:type="dxa"/>
            <w:tcBorders>
              <w:top w:val="single" w:sz="12" w:space="0" w:color="auto"/>
              <w:left w:val="nil"/>
              <w:bottom w:val="single" w:sz="12" w:space="0" w:color="auto"/>
            </w:tcBorders>
            <w:shd w:val="clear" w:color="auto" w:fill="FFFF99"/>
          </w:tcPr>
          <w:p w14:paraId="0EB81802" w14:textId="77777777" w:rsidR="006B2092" w:rsidRDefault="006B2092">
            <w:pPr>
              <w:pStyle w:val="Header"/>
              <w:tabs>
                <w:tab w:val="clear" w:pos="4153"/>
                <w:tab w:val="clear" w:pos="8306"/>
              </w:tabs>
              <w:spacing w:before="120"/>
              <w:rPr>
                <w:rFonts w:ascii="Comic Sans MS" w:hAnsi="Comic Sans MS" w:cs="Comic Sans MS"/>
              </w:rPr>
            </w:pPr>
            <w:r>
              <w:rPr>
                <w:rFonts w:ascii="Comic Sans MS" w:hAnsi="Comic Sans MS" w:cs="Comic Sans MS"/>
              </w:rPr>
              <w:t>Type summary here which will be included in the Case Officers Report. (300 words)</w:t>
            </w:r>
          </w:p>
          <w:p w14:paraId="477DAEE9" w14:textId="77777777" w:rsidR="006B2092" w:rsidRDefault="006B2092">
            <w:pPr>
              <w:pStyle w:val="Header"/>
              <w:tabs>
                <w:tab w:val="clear" w:pos="4153"/>
                <w:tab w:val="clear" w:pos="8306"/>
              </w:tabs>
              <w:spacing w:before="120"/>
              <w:rPr>
                <w:rFonts w:ascii="Comic Sans MS" w:hAnsi="Comic Sans MS" w:cs="Comic Sans MS"/>
              </w:rPr>
            </w:pPr>
            <w:r>
              <w:rPr>
                <w:rFonts w:ascii="Comic Sans MS" w:hAnsi="Comic Sans MS" w:cs="Comic Sans MS"/>
                <w:b/>
                <w:bCs/>
              </w:rPr>
              <w:t>N.B.</w:t>
            </w:r>
            <w:r>
              <w:rPr>
                <w:rFonts w:ascii="Comic Sans MS" w:hAnsi="Comic Sans MS" w:cs="Comic Sans MS"/>
              </w:rPr>
              <w:t xml:space="preserve"> This is not applicable to </w:t>
            </w:r>
            <w:r>
              <w:rPr>
                <w:rFonts w:ascii="Comic Sans MS" w:hAnsi="Comic Sans MS" w:cs="Comic Sans MS"/>
                <w:u w:val="single"/>
              </w:rPr>
              <w:t>Policy</w:t>
            </w:r>
            <w:r>
              <w:rPr>
                <w:rFonts w:ascii="Comic Sans MS" w:hAnsi="Comic Sans MS" w:cs="Comic Sans MS"/>
              </w:rPr>
              <w:t xml:space="preserve"> comments whose response above will be incorporated into the Officers final report.</w:t>
            </w:r>
          </w:p>
          <w:p w14:paraId="3BAC0499" w14:textId="77777777" w:rsidR="006B2092" w:rsidRDefault="006B2092">
            <w:pPr>
              <w:pStyle w:val="Header"/>
              <w:tabs>
                <w:tab w:val="clear" w:pos="4153"/>
                <w:tab w:val="clear" w:pos="8306"/>
              </w:tabs>
              <w:spacing w:before="120"/>
              <w:rPr>
                <w:rFonts w:ascii="Comic Sans MS" w:hAnsi="Comic Sans MS" w:cs="Comic Sans MS"/>
              </w:rPr>
            </w:pPr>
          </w:p>
          <w:p w14:paraId="51394742" w14:textId="77777777" w:rsidR="006B2092" w:rsidRDefault="006B2092">
            <w:pPr>
              <w:pStyle w:val="Header"/>
              <w:tabs>
                <w:tab w:val="clear" w:pos="4153"/>
                <w:tab w:val="clear" w:pos="8306"/>
              </w:tabs>
              <w:spacing w:before="120"/>
              <w:rPr>
                <w:rFonts w:ascii="Comic Sans MS" w:hAnsi="Comic Sans MS" w:cs="Comic Sans MS"/>
              </w:rPr>
            </w:pPr>
          </w:p>
        </w:tc>
      </w:tr>
    </w:tbl>
    <w:p w14:paraId="5DAC4B65" w14:textId="77777777" w:rsidR="006B2092" w:rsidRDefault="006B2092">
      <w:pPr>
        <w:rPr>
          <w:sz w:val="4"/>
          <w:szCs w:val="4"/>
        </w:rPr>
        <w:sectPr w:rsidR="006B2092">
          <w:type w:val="continuous"/>
          <w:pgSz w:w="11906" w:h="16838" w:code="9"/>
          <w:pgMar w:top="567" w:right="567" w:bottom="403" w:left="567" w:header="0" w:footer="0" w:gutter="0"/>
          <w:paperSrc w:first="3" w:other="3"/>
          <w:cols w:space="720"/>
          <w:formProt w:val="0"/>
        </w:sectPr>
      </w:pPr>
    </w:p>
    <w:p w14:paraId="35D544BF" w14:textId="77777777" w:rsidR="006B2092" w:rsidRDefault="006B2092">
      <w:pPr>
        <w:rPr>
          <w:sz w:val="4"/>
          <w:szCs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323"/>
        <w:gridCol w:w="3171"/>
        <w:gridCol w:w="2782"/>
      </w:tblGrid>
      <w:tr w:rsidR="00FF1A38" w14:paraId="02A51B1F" w14:textId="77777777" w:rsidTr="00FF1A38">
        <w:trPr>
          <w:trHeight w:val="315"/>
        </w:trPr>
        <w:tc>
          <w:tcPr>
            <w:tcW w:w="5070" w:type="dxa"/>
            <w:gridSpan w:val="2"/>
            <w:tcBorders>
              <w:bottom w:val="single" w:sz="12" w:space="0" w:color="auto"/>
              <w:right w:val="single" w:sz="12" w:space="0" w:color="auto"/>
            </w:tcBorders>
            <w:shd w:val="clear" w:color="auto" w:fill="000000"/>
            <w:vAlign w:val="center"/>
          </w:tcPr>
          <w:p w14:paraId="51BB322C" w14:textId="77777777" w:rsidR="006B2092" w:rsidRDefault="006B2092">
            <w:r w:rsidRPr="00FF1A38">
              <w:rPr>
                <w:rFonts w:ascii="Arial" w:hAnsi="Arial" w:cs="Arial"/>
                <w:b/>
                <w:bCs/>
              </w:rPr>
              <w:t xml:space="preserve">RECOMMENDATION </w:t>
            </w:r>
            <w:r w:rsidRPr="00FF1A38">
              <w:rPr>
                <w:rFonts w:ascii="Arial" w:hAnsi="Arial" w:cs="Arial"/>
                <w:i/>
                <w:iCs/>
                <w:color w:val="FFFFFF"/>
              </w:rPr>
              <w:t>check relevant boxes</w:t>
            </w:r>
          </w:p>
        </w:tc>
        <w:tc>
          <w:tcPr>
            <w:tcW w:w="3171" w:type="dxa"/>
            <w:tcBorders>
              <w:top w:val="single" w:sz="12" w:space="0" w:color="auto"/>
              <w:left w:val="single" w:sz="12" w:space="0" w:color="auto"/>
              <w:bottom w:val="single" w:sz="8" w:space="0" w:color="auto"/>
              <w:right w:val="single" w:sz="12" w:space="0" w:color="auto"/>
            </w:tcBorders>
            <w:shd w:val="clear" w:color="auto" w:fill="FFFF99"/>
            <w:vAlign w:val="center"/>
          </w:tcPr>
          <w:p w14:paraId="15809336" w14:textId="77777777" w:rsidR="006B2092" w:rsidRPr="00FF1A38" w:rsidRDefault="006B2092">
            <w:pPr>
              <w:rPr>
                <w:rFonts w:ascii="Arial" w:hAnsi="Arial" w:cs="Arial"/>
              </w:rPr>
            </w:pPr>
            <w:r w:rsidRPr="00FF1A38">
              <w:rPr>
                <w:rFonts w:ascii="Arial" w:hAnsi="Arial" w:cs="Arial"/>
                <w:b/>
                <w:bCs/>
              </w:rPr>
              <w:t>CONDITIONS</w:t>
            </w:r>
            <w:r w:rsidRPr="00FF1A38">
              <w:rPr>
                <w:rFonts w:ascii="Arial" w:hAnsi="Arial" w:cs="Arial"/>
              </w:rPr>
              <w:t xml:space="preserve"> Discharge</w:t>
            </w:r>
          </w:p>
        </w:tc>
        <w:tc>
          <w:tcPr>
            <w:tcW w:w="2782" w:type="dxa"/>
            <w:tcBorders>
              <w:top w:val="single" w:sz="12" w:space="0" w:color="auto"/>
              <w:left w:val="single" w:sz="12" w:space="0" w:color="auto"/>
              <w:right w:val="single" w:sz="12" w:space="0" w:color="auto"/>
            </w:tcBorders>
            <w:shd w:val="clear" w:color="auto" w:fill="FFFF99"/>
            <w:vAlign w:val="center"/>
          </w:tcPr>
          <w:p w14:paraId="009C2E33" w14:textId="77777777" w:rsidR="006B2092" w:rsidRPr="00FF1A38" w:rsidRDefault="006B2092">
            <w:pPr>
              <w:rPr>
                <w:b/>
                <w:bCs/>
              </w:rPr>
            </w:pPr>
            <w:r w:rsidRPr="00FF1A38">
              <w:rPr>
                <w:rFonts w:ascii="Arial" w:hAnsi="Arial" w:cs="Arial"/>
                <w:b/>
                <w:bCs/>
              </w:rPr>
              <w:t xml:space="preserve">PRE-APP </w:t>
            </w:r>
            <w:r w:rsidRPr="00FF1A38">
              <w:rPr>
                <w:rFonts w:ascii="Arial" w:hAnsi="Arial" w:cs="Arial"/>
              </w:rPr>
              <w:t>submission</w:t>
            </w:r>
          </w:p>
        </w:tc>
      </w:tr>
      <w:tr w:rsidR="00FF1A38" w14:paraId="45D97F40" w14:textId="77777777" w:rsidTr="00FF1A38">
        <w:trPr>
          <w:trHeight w:val="406"/>
        </w:trPr>
        <w:tc>
          <w:tcPr>
            <w:tcW w:w="2747" w:type="dxa"/>
            <w:tcBorders>
              <w:top w:val="single" w:sz="12" w:space="0" w:color="auto"/>
              <w:left w:val="single" w:sz="12" w:space="0" w:color="auto"/>
              <w:bottom w:val="nil"/>
              <w:right w:val="single" w:sz="12" w:space="0" w:color="auto"/>
            </w:tcBorders>
            <w:shd w:val="clear" w:color="auto" w:fill="FFFF99"/>
            <w:vAlign w:val="center"/>
          </w:tcPr>
          <w:p w14:paraId="130E1768" w14:textId="77777777" w:rsidR="006B2092" w:rsidRDefault="006B2092">
            <w:r w:rsidRPr="00FF1A38">
              <w:rPr>
                <w:rFonts w:ascii="Arial" w:hAnsi="Arial" w:cs="Arial"/>
                <w:sz w:val="24"/>
                <w:szCs w:val="24"/>
              </w:rPr>
              <w:fldChar w:fldCharType="begin">
                <w:ffData>
                  <w:name w:val="Check2"/>
                  <w:enabled/>
                  <w:calcOnExit w:val="0"/>
                  <w:checkBox>
                    <w:sizeAuto/>
                    <w:default w:val="0"/>
                    <w:checked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APPROVE</w:t>
            </w:r>
            <w:r w:rsidRPr="00FF1A38">
              <w:rPr>
                <w:rFonts w:ascii="Arial" w:hAnsi="Arial" w:cs="Arial"/>
                <w:sz w:val="18"/>
                <w:szCs w:val="18"/>
              </w:rPr>
              <w:t xml:space="preserve"> </w:t>
            </w:r>
          </w:p>
        </w:tc>
        <w:tc>
          <w:tcPr>
            <w:tcW w:w="2323" w:type="dxa"/>
            <w:vMerge w:val="restart"/>
            <w:tcBorders>
              <w:left w:val="single" w:sz="12" w:space="0" w:color="auto"/>
              <w:bottom w:val="single" w:sz="12" w:space="0" w:color="auto"/>
              <w:right w:val="single" w:sz="12" w:space="0" w:color="auto"/>
            </w:tcBorders>
            <w:shd w:val="clear" w:color="auto" w:fill="FFFF99"/>
            <w:vAlign w:val="center"/>
          </w:tcPr>
          <w:p w14:paraId="1EA4B707" w14:textId="77777777" w:rsidR="006B2092" w:rsidRDefault="006B2092">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REFUSE</w:t>
            </w:r>
            <w:r w:rsidRPr="00FF1A38">
              <w:rPr>
                <w:rFonts w:ascii="Arial" w:hAnsi="Arial" w:cs="Arial"/>
                <w:sz w:val="18"/>
                <w:szCs w:val="18"/>
              </w:rPr>
              <w:t xml:space="preserve"> </w:t>
            </w:r>
          </w:p>
        </w:tc>
        <w:tc>
          <w:tcPr>
            <w:tcW w:w="3171" w:type="dxa"/>
            <w:tcBorders>
              <w:top w:val="single" w:sz="8" w:space="0" w:color="auto"/>
              <w:left w:val="single" w:sz="12" w:space="0" w:color="auto"/>
              <w:bottom w:val="nil"/>
              <w:right w:val="single" w:sz="12" w:space="0" w:color="auto"/>
            </w:tcBorders>
            <w:shd w:val="clear" w:color="auto" w:fill="FFFF99"/>
            <w:vAlign w:val="center"/>
          </w:tcPr>
          <w:p w14:paraId="300E4240" w14:textId="77777777" w:rsidR="006B2092" w:rsidRDefault="006B2092">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COMPLIES with Conditions</w:t>
            </w:r>
          </w:p>
        </w:tc>
        <w:tc>
          <w:tcPr>
            <w:tcW w:w="2782" w:type="dxa"/>
            <w:tcBorders>
              <w:left w:val="single" w:sz="12" w:space="0" w:color="auto"/>
              <w:bottom w:val="nil"/>
              <w:right w:val="single" w:sz="12" w:space="0" w:color="auto"/>
            </w:tcBorders>
            <w:shd w:val="clear" w:color="auto" w:fill="FFFF99"/>
            <w:vAlign w:val="center"/>
          </w:tcPr>
          <w:p w14:paraId="2E106402" w14:textId="77777777" w:rsidR="006B2092" w:rsidRDefault="006B2092">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 xml:space="preserve">SUPPORT </w:t>
            </w:r>
            <w:r w:rsidRPr="00FF1A38">
              <w:rPr>
                <w:rFonts w:ascii="Arial" w:hAnsi="Arial" w:cs="Arial"/>
                <w:sz w:val="18"/>
                <w:szCs w:val="18"/>
              </w:rPr>
              <w:t>PRE-APP</w:t>
            </w:r>
          </w:p>
        </w:tc>
      </w:tr>
      <w:tr w:rsidR="00FF1A38" w14:paraId="4BE346F1" w14:textId="77777777" w:rsidTr="00FF1A38">
        <w:trPr>
          <w:trHeight w:val="412"/>
        </w:trPr>
        <w:tc>
          <w:tcPr>
            <w:tcW w:w="2747" w:type="dxa"/>
            <w:tcBorders>
              <w:top w:val="nil"/>
              <w:left w:val="single" w:sz="12" w:space="0" w:color="auto"/>
              <w:bottom w:val="single" w:sz="12" w:space="0" w:color="auto"/>
              <w:right w:val="single" w:sz="12" w:space="0" w:color="auto"/>
            </w:tcBorders>
            <w:shd w:val="clear" w:color="auto" w:fill="FFFF99"/>
            <w:vAlign w:val="center"/>
          </w:tcPr>
          <w:p w14:paraId="43F38644" w14:textId="77777777" w:rsidR="006B2092" w:rsidRPr="00FF1A38" w:rsidRDefault="006B2092">
            <w:pPr>
              <w:rPr>
                <w:rFonts w:ascii="Arial" w:hAnsi="Arial" w:cs="Arial"/>
                <w:sz w:val="24"/>
                <w:szCs w:val="24"/>
              </w:rPr>
            </w:pPr>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b/>
                <w:bCs/>
                <w:sz w:val="24"/>
                <w:szCs w:val="24"/>
              </w:rPr>
              <w:t xml:space="preserve"> </w:t>
            </w:r>
            <w:r w:rsidRPr="00FF1A38">
              <w:rPr>
                <w:rFonts w:ascii="Arial" w:hAnsi="Arial" w:cs="Arial"/>
                <w:b/>
                <w:bCs/>
                <w:sz w:val="18"/>
                <w:szCs w:val="18"/>
              </w:rPr>
              <w:t>S106</w:t>
            </w:r>
            <w:r w:rsidRPr="00FF1A38">
              <w:rPr>
                <w:rFonts w:ascii="Arial" w:hAnsi="Arial" w:cs="Arial"/>
                <w:sz w:val="18"/>
                <w:szCs w:val="18"/>
              </w:rPr>
              <w:t xml:space="preserve"> Legal Agreement</w:t>
            </w:r>
          </w:p>
        </w:tc>
        <w:tc>
          <w:tcPr>
            <w:tcW w:w="2323" w:type="dxa"/>
            <w:vMerge/>
            <w:tcBorders>
              <w:left w:val="single" w:sz="12" w:space="0" w:color="auto"/>
              <w:bottom w:val="single" w:sz="12" w:space="0" w:color="auto"/>
              <w:right w:val="single" w:sz="12" w:space="0" w:color="auto"/>
            </w:tcBorders>
            <w:shd w:val="clear" w:color="auto" w:fill="FFFF99"/>
            <w:vAlign w:val="center"/>
          </w:tcPr>
          <w:p w14:paraId="7072AFEC" w14:textId="77777777" w:rsidR="006B2092" w:rsidRDefault="006B2092"/>
        </w:tc>
        <w:tc>
          <w:tcPr>
            <w:tcW w:w="3171" w:type="dxa"/>
            <w:tcBorders>
              <w:top w:val="nil"/>
              <w:left w:val="single" w:sz="12" w:space="0" w:color="auto"/>
              <w:bottom w:val="single" w:sz="12" w:space="0" w:color="auto"/>
              <w:right w:val="single" w:sz="12" w:space="0" w:color="auto"/>
            </w:tcBorders>
            <w:shd w:val="clear" w:color="auto" w:fill="FFFF99"/>
            <w:vAlign w:val="center"/>
          </w:tcPr>
          <w:p w14:paraId="7AD3ED0A" w14:textId="77777777" w:rsidR="006B2092" w:rsidRDefault="006B2092">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NON-COMPLIANCE</w:t>
            </w:r>
          </w:p>
        </w:tc>
        <w:tc>
          <w:tcPr>
            <w:tcW w:w="2782" w:type="dxa"/>
            <w:tcBorders>
              <w:top w:val="nil"/>
              <w:left w:val="single" w:sz="12" w:space="0" w:color="auto"/>
              <w:bottom w:val="single" w:sz="12" w:space="0" w:color="auto"/>
              <w:right w:val="single" w:sz="12" w:space="0" w:color="auto"/>
            </w:tcBorders>
            <w:shd w:val="clear" w:color="auto" w:fill="FFFF99"/>
            <w:vAlign w:val="center"/>
          </w:tcPr>
          <w:p w14:paraId="2F397FA9" w14:textId="77777777" w:rsidR="006B2092" w:rsidRDefault="006B2092">
            <w:r w:rsidRPr="00FF1A38">
              <w:rPr>
                <w:rFonts w:ascii="Arial" w:hAnsi="Arial" w:cs="Arial"/>
                <w:sz w:val="24"/>
                <w:szCs w:val="24"/>
              </w:rPr>
              <w:fldChar w:fldCharType="begin">
                <w:ffData>
                  <w:name w:val="Check2"/>
                  <w:enabled/>
                  <w:calcOnExit w:val="0"/>
                  <w:checkBox>
                    <w:sizeAuto/>
                    <w:default w:val="0"/>
                  </w:checkBox>
                </w:ffData>
              </w:fldChar>
            </w:r>
            <w:r w:rsidRPr="00FF1A38">
              <w:rPr>
                <w:rFonts w:ascii="Arial" w:hAnsi="Arial" w:cs="Arial"/>
                <w:sz w:val="24"/>
                <w:szCs w:val="24"/>
              </w:rPr>
              <w:instrText xml:space="preserve"> FORMCHECKBOX </w:instrText>
            </w:r>
            <w:r>
              <w:instrText>__</w:instrText>
            </w:r>
            <w:r w:rsidR="009E2C02">
              <w:rPr>
                <w:rFonts w:ascii="Arial" w:hAnsi="Arial" w:cs="Arial"/>
                <w:sz w:val="24"/>
                <w:szCs w:val="24"/>
              </w:rPr>
            </w:r>
            <w:r w:rsidR="009E2C02">
              <w:rPr>
                <w:rFonts w:ascii="Arial" w:hAnsi="Arial" w:cs="Arial"/>
                <w:sz w:val="24"/>
                <w:szCs w:val="24"/>
              </w:rPr>
              <w:fldChar w:fldCharType="separate"/>
            </w:r>
            <w:r w:rsidRPr="00FF1A38">
              <w:rPr>
                <w:rFonts w:ascii="Arial" w:hAnsi="Arial" w:cs="Arial"/>
                <w:sz w:val="24"/>
                <w:szCs w:val="24"/>
              </w:rPr>
              <w:fldChar w:fldCharType="end"/>
            </w:r>
            <w:r w:rsidRPr="00FF1A38">
              <w:rPr>
                <w:rFonts w:ascii="Arial" w:hAnsi="Arial" w:cs="Arial"/>
                <w:sz w:val="24"/>
                <w:szCs w:val="24"/>
              </w:rPr>
              <w:t xml:space="preserve"> </w:t>
            </w:r>
            <w:r w:rsidRPr="00FF1A38">
              <w:rPr>
                <w:rFonts w:ascii="Arial" w:hAnsi="Arial" w:cs="Arial"/>
                <w:b/>
                <w:bCs/>
                <w:sz w:val="18"/>
                <w:szCs w:val="18"/>
              </w:rPr>
              <w:t xml:space="preserve">OBJECT    </w:t>
            </w:r>
            <w:r w:rsidRPr="00FF1A38">
              <w:rPr>
                <w:rFonts w:ascii="Arial" w:hAnsi="Arial" w:cs="Arial"/>
                <w:sz w:val="18"/>
                <w:szCs w:val="18"/>
              </w:rPr>
              <w:t>PRE-APP</w:t>
            </w:r>
          </w:p>
        </w:tc>
      </w:tr>
    </w:tbl>
    <w:p w14:paraId="69256F81" w14:textId="77777777" w:rsidR="006B2092" w:rsidRDefault="006B2092">
      <w:pPr>
        <w:rPr>
          <w:rFonts w:ascii="Arial" w:hAnsi="Arial" w:cs="Arial"/>
          <w:sz w:val="18"/>
          <w:szCs w:val="18"/>
        </w:rPr>
      </w:pPr>
      <w:r>
        <w:rPr>
          <w:rFonts w:ascii="Arial" w:hAnsi="Arial" w:cs="Arial"/>
          <w:sz w:val="18"/>
          <w:szCs w:val="18"/>
        </w:rPr>
        <w:tab/>
      </w:r>
      <w:r>
        <w:rPr>
          <w:rFonts w:ascii="Arial" w:hAnsi="Arial" w:cs="Arial"/>
          <w:sz w:val="18"/>
          <w:szCs w:val="18"/>
        </w:rPr>
        <w:tab/>
      </w:r>
    </w:p>
    <w:p w14:paraId="5C338D8A" w14:textId="77777777" w:rsidR="006B2092" w:rsidRDefault="006B2092"/>
    <w:sectPr w:rsidR="006B2092" w:rsidSect="00813699">
      <w:type w:val="continuous"/>
      <w:pgSz w:w="11906" w:h="16838" w:code="9"/>
      <w:pgMar w:top="567" w:right="567" w:bottom="28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D768" w14:textId="77777777" w:rsidR="00A674D5" w:rsidRDefault="00A674D5">
      <w:r>
        <w:separator/>
      </w:r>
    </w:p>
  </w:endnote>
  <w:endnote w:type="continuationSeparator" w:id="0">
    <w:p w14:paraId="4D6662CC" w14:textId="77777777" w:rsidR="00A674D5" w:rsidRDefault="00A6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884F" w14:textId="77777777" w:rsidR="00A674D5" w:rsidRDefault="00A674D5">
      <w:r>
        <w:separator/>
      </w:r>
    </w:p>
  </w:footnote>
  <w:footnote w:type="continuationSeparator" w:id="0">
    <w:p w14:paraId="7299ACF0" w14:textId="77777777" w:rsidR="00A674D5" w:rsidRDefault="00A6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C8F"/>
    <w:multiLevelType w:val="hybridMultilevel"/>
    <w:tmpl w:val="160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2347"/>
    <w:multiLevelType w:val="hybridMultilevel"/>
    <w:tmpl w:val="C9F0953E"/>
    <w:lvl w:ilvl="0" w:tplc="18DE49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92404"/>
    <w:multiLevelType w:val="hybridMultilevel"/>
    <w:tmpl w:val="1F961A48"/>
    <w:lvl w:ilvl="0" w:tplc="6FBCE1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22539"/>
    <w:multiLevelType w:val="hybridMultilevel"/>
    <w:tmpl w:val="735853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26829CB"/>
    <w:multiLevelType w:val="hybridMultilevel"/>
    <w:tmpl w:val="94946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603F8"/>
    <w:multiLevelType w:val="hybridMultilevel"/>
    <w:tmpl w:val="F63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72"/>
    <w:rsid w:val="00003672"/>
    <w:rsid w:val="00150F14"/>
    <w:rsid w:val="00346F30"/>
    <w:rsid w:val="0046093E"/>
    <w:rsid w:val="0048322A"/>
    <w:rsid w:val="005A3C68"/>
    <w:rsid w:val="0062513F"/>
    <w:rsid w:val="006B2092"/>
    <w:rsid w:val="00813699"/>
    <w:rsid w:val="00985ECD"/>
    <w:rsid w:val="009E2C02"/>
    <w:rsid w:val="00A40260"/>
    <w:rsid w:val="00A674D5"/>
    <w:rsid w:val="00CA5DA6"/>
    <w:rsid w:val="00D51EB3"/>
    <w:rsid w:val="00FA15F0"/>
    <w:rsid w:val="00FD3454"/>
    <w:rsid w:val="00FD601B"/>
    <w:rsid w:val="00FF06E0"/>
    <w:rsid w:val="00FF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86AC6"/>
  <w14:defaultImageDpi w14:val="0"/>
  <w15:docId w15:val="{0F85D07A-B667-4002-800E-F500F289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spacing w:line="240" w:lineRule="atLeast"/>
      <w:jc w:val="both"/>
      <w:outlineLvl w:val="1"/>
    </w:pPr>
    <w:rPr>
      <w:rFonts w:ascii="Arial" w:hAnsi="Arial" w:cs="Arial"/>
      <w:b/>
      <w:bCs/>
      <w:sz w:val="22"/>
      <w:szCs w:val="22"/>
    </w:rPr>
  </w:style>
  <w:style w:type="paragraph" w:styleId="Heading3">
    <w:name w:val="heading 3"/>
    <w:basedOn w:val="Normal"/>
    <w:next w:val="Normal"/>
    <w:link w:val="Heading3Char"/>
    <w:uiPriority w:val="99"/>
    <w:qFormat/>
    <w:pPr>
      <w:keepNext/>
      <w:autoSpaceDE/>
      <w:autoSpaceDN/>
      <w:outlineLvl w:val="2"/>
    </w:pPr>
    <w:rPr>
      <w:rFonts w:ascii="Arial" w:hAnsi="Arial" w:cs="Arial"/>
      <w:b/>
      <w:bCs/>
      <w:sz w:val="44"/>
      <w:szCs w:val="44"/>
    </w:rPr>
  </w:style>
  <w:style w:type="paragraph" w:styleId="Heading4">
    <w:name w:val="heading 4"/>
    <w:basedOn w:val="Normal"/>
    <w:next w:val="Normal"/>
    <w:link w:val="Heading4Char"/>
    <w:uiPriority w:val="99"/>
    <w:qFormat/>
    <w:pPr>
      <w:keepNext/>
      <w:outlineLvl w:val="3"/>
    </w:pPr>
    <w:rPr>
      <w:rFonts w:ascii="Arial" w:hAnsi="Arial" w:cs="Arial"/>
      <w:i/>
      <w:iCs/>
      <w:sz w:val="22"/>
      <w:szCs w:val="22"/>
    </w:rPr>
  </w:style>
  <w:style w:type="paragraph" w:styleId="Heading5">
    <w:name w:val="heading 5"/>
    <w:basedOn w:val="Normal"/>
    <w:next w:val="Normal"/>
    <w:link w:val="Heading5Char"/>
    <w:uiPriority w:val="99"/>
    <w:qFormat/>
    <w:pPr>
      <w:keepNext/>
      <w:outlineLvl w:val="4"/>
    </w:pPr>
    <w:rPr>
      <w:rFonts w:ascii="Arial" w:hAnsi="Arial" w:cs="Arial"/>
      <w:b/>
      <w:bCs/>
    </w:rPr>
  </w:style>
  <w:style w:type="paragraph" w:styleId="Heading6">
    <w:name w:val="heading 6"/>
    <w:basedOn w:val="Normal"/>
    <w:next w:val="Normal"/>
    <w:link w:val="Heading6Char"/>
    <w:uiPriority w:val="99"/>
    <w:qFormat/>
    <w:pPr>
      <w:keepNext/>
      <w:outlineLvl w:val="5"/>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odyText">
    <w:name w:val="Body Text"/>
    <w:basedOn w:val="Normal"/>
    <w:link w:val="BodyTextChar"/>
    <w:uiPriority w:val="99"/>
    <w:pPr>
      <w:spacing w:line="240" w:lineRule="atLeast"/>
      <w:jc w:val="both"/>
    </w:pPr>
    <w:rPr>
      <w:rFonts w:ascii="Arial" w:hAnsi="Arial" w:cs="Arial"/>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jc w:val="both"/>
    </w:pPr>
    <w:rPr>
      <w:rFonts w:ascii="Arial" w:hAnsi="Arial" w:cs="Arial"/>
      <w:sz w:val="22"/>
      <w:szCs w:val="22"/>
    </w:r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adjustRightInd w:val="0"/>
      <w:jc w:val="center"/>
    </w:pPr>
    <w:rPr>
      <w:rFonts w:ascii="Arial" w:hAnsi="Arial" w:cs="Arial"/>
      <w:sz w:val="16"/>
      <w:szCs w:val="16"/>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142"/>
    </w:pPr>
    <w:rPr>
      <w:rFonts w:ascii="Arial" w:hAnsi="Arial" w:cs="Arial"/>
      <w:sz w:val="22"/>
      <w:szCs w:val="22"/>
    </w:rPr>
  </w:style>
  <w:style w:type="character" w:customStyle="1" w:styleId="BodyTextIndent2Char">
    <w:name w:val="Body Text Indent 2 Char"/>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tabs>
        <w:tab w:val="left" w:pos="567"/>
      </w:tabs>
      <w:adjustRightInd w:val="0"/>
      <w:ind w:left="567" w:hanging="567"/>
    </w:pPr>
    <w:rPr>
      <w:rFonts w:ascii="Tahoma" w:hAnsi="Tahoma" w:cs="Tahoma"/>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9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PlainText">
    <w:name w:val="Plain Text"/>
    <w:basedOn w:val="Normal"/>
    <w:link w:val="PlainTextChar"/>
    <w:uiPriority w:val="99"/>
    <w:semiHidden/>
    <w:pPr>
      <w:autoSpaceDE/>
      <w:autoSpaceDN/>
    </w:pPr>
    <w:rPr>
      <w:rFonts w:ascii="Calibri" w:hAnsi="Calibri"/>
      <w:sz w:val="22"/>
      <w:szCs w:val="21"/>
    </w:rPr>
  </w:style>
  <w:style w:type="character" w:customStyle="1" w:styleId="PlainTextChar">
    <w:name w:val="Plain Text Char"/>
    <w:link w:val="PlainText"/>
    <w:uiPriority w:val="99"/>
    <w:semiHidden/>
    <w:locked/>
    <w:rPr>
      <w:rFonts w:ascii="Calibri" w:hAnsi="Calibri" w:cs="Times New Roman"/>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rbwm.gov.uk/info/201048/evidence_base_and_monitoring/592/evidence_base" TargetMode="External"/><Relationship Id="rId18" Type="http://schemas.openxmlformats.org/officeDocument/2006/relationships/hyperlink" Target="https://www.bracknell-forest.gov.uk/sites/default/files/documents/thames-basin-heaths-spa-supplementary-planning-docu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racknell-forest.gov.uk/sites/default/files/documents/ne-standing-advice-update-june-2020.pdf" TargetMode="External"/><Relationship Id="rId17" Type="http://schemas.openxmlformats.org/officeDocument/2006/relationships/hyperlink" Target="https://www.bracknell-forest.gov.uk/sites/default/files/documents/salp-adopted.pdf" TargetMode="External"/><Relationship Id="rId2" Type="http://schemas.openxmlformats.org/officeDocument/2006/relationships/customXml" Target="../customXml/item2.xml"/><Relationship Id="rId16" Type="http://schemas.openxmlformats.org/officeDocument/2006/relationships/hyperlink" Target="https://www.bracknell-forest.gov.uk/sites/default/files/documents/core-strategy-development-plan-document-february-20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cknell-forest.gov.uk/viewplanningapplications" TargetMode="External"/><Relationship Id="rId5" Type="http://schemas.openxmlformats.org/officeDocument/2006/relationships/styles" Target="styles.xml"/><Relationship Id="rId15" Type="http://schemas.openxmlformats.org/officeDocument/2006/relationships/hyperlink" Target="https://www.bracknell-forest.gov.uk/planning-and-building-control/planning/planning-policy/development-plan/local-plan-2002" TargetMode="External"/><Relationship Id="rId10" Type="http://schemas.openxmlformats.org/officeDocument/2006/relationships/image" Target="media/image1.png"/><Relationship Id="rId19" Type="http://schemas.openxmlformats.org/officeDocument/2006/relationships/hyperlink" Target="https://files.bracknell-forest.gov.uk/sites/bracknell/documents/thames-basin-heaths-spa-delivery-frame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acknell-forest.gov.uk/planning-and-building-control/planning/planning-policy/development-plan/south-eas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I xmlns="cb29a2fa-b3f0-476b-895e-3ca208220c8c">No</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AD632A521C34D9FAD3304DF3A1B84" ma:contentTypeVersion="10" ma:contentTypeDescription="Create a new document." ma:contentTypeScope="" ma:versionID="b399b563cc4e34ab6c999b04a978e9d1">
  <xsd:schema xmlns:xsd="http://www.w3.org/2001/XMLSchema" xmlns:xs="http://www.w3.org/2001/XMLSchema" xmlns:p="http://schemas.microsoft.com/office/2006/metadata/properties" xmlns:ns2="cb29a2fa-b3f0-476b-895e-3ca208220c8c" xmlns:ns3="b8c87c54-830c-4bc0-a481-1b6eab12365f" targetNamespace="http://schemas.microsoft.com/office/2006/metadata/properties" ma:root="true" ma:fieldsID="0f900031dad5a854873950863c165518" ns2:_="" ns3:_="">
    <xsd:import namespace="cb29a2fa-b3f0-476b-895e-3ca208220c8c"/>
    <xsd:import namespace="b8c87c54-830c-4bc0-a481-1b6eab12365f"/>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9a2fa-b3f0-476b-895e-3ca208220c8c"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b8c87c54-830c-4bc0-a481-1b6eab12365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ABB50-EE3B-48E0-A8DC-F2730C7ED09D}">
  <ds:schemaRefs>
    <ds:schemaRef ds:uri="http://schemas.microsoft.com/office/2006/metadata/properties"/>
    <ds:schemaRef ds:uri="http://schemas.microsoft.com/office/infopath/2007/PartnerControls"/>
    <ds:schemaRef ds:uri="cb29a2fa-b3f0-476b-895e-3ca208220c8c"/>
  </ds:schemaRefs>
</ds:datastoreItem>
</file>

<file path=customXml/itemProps2.xml><?xml version="1.0" encoding="utf-8"?>
<ds:datastoreItem xmlns:ds="http://schemas.openxmlformats.org/officeDocument/2006/customXml" ds:itemID="{898D4821-D8F2-4637-B5AA-724025A39BDD}">
  <ds:schemaRefs>
    <ds:schemaRef ds:uri="http://schemas.microsoft.com/sharepoint/v3/contenttype/forms"/>
  </ds:schemaRefs>
</ds:datastoreItem>
</file>

<file path=customXml/itemProps3.xml><?xml version="1.0" encoding="utf-8"?>
<ds:datastoreItem xmlns:ds="http://schemas.openxmlformats.org/officeDocument/2006/customXml" ds:itemID="{0A647E7C-EE07-4FA6-9DF2-D880E403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9a2fa-b3f0-476b-895e-3ca208220c8c"/>
    <ds:schemaRef ds:uri="b8c87c54-830c-4bc0-a481-1b6eab12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19108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 E M O R A N D U M</vt:lpstr>
    </vt:vector>
  </TitlesOfParts>
  <Company>BFBC</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Cindy Cushnahan</dc:creator>
  <cp:keywords/>
  <dc:description/>
  <cp:lastModifiedBy>Trevor Yerworth</cp:lastModifiedBy>
  <cp:revision>2</cp:revision>
  <cp:lastPrinted>2008-01-11T13:12:00Z</cp:lastPrinted>
  <dcterms:created xsi:type="dcterms:W3CDTF">2020-11-24T14:22:00Z</dcterms:created>
  <dcterms:modified xsi:type="dcterms:W3CDTF">2020-11-24T14:22:00Z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0x010100DCEAD632A521C34D9FAD3304DF3A1B84</vt:lpwstr>
  </property>
</Properties>
</file>