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266" w:rsidRDefault="0001239E">
      <w:r>
        <w:rPr>
          <w:noProof/>
          <w:lang w:eastAsia="en-GB"/>
        </w:rPr>
        <w:drawing>
          <wp:anchor distT="0" distB="0" distL="114300" distR="114300" simplePos="0" relativeHeight="251657728" behindDoc="1" locked="0" layoutInCell="1" allowOverlap="1">
            <wp:simplePos x="0" y="0"/>
            <wp:positionH relativeFrom="column">
              <wp:posOffset>2142490</wp:posOffset>
            </wp:positionH>
            <wp:positionV relativeFrom="paragraph">
              <wp:posOffset>-760095</wp:posOffset>
            </wp:positionV>
            <wp:extent cx="1451610" cy="1236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1610" cy="1236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752" behindDoc="1" locked="0" layoutInCell="1" allowOverlap="1">
            <wp:simplePos x="0" y="0"/>
            <wp:positionH relativeFrom="column">
              <wp:posOffset>-922020</wp:posOffset>
            </wp:positionH>
            <wp:positionV relativeFrom="paragraph">
              <wp:posOffset>8702040</wp:posOffset>
            </wp:positionV>
            <wp:extent cx="7581900" cy="8286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19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0266" w:rsidRDefault="00CB0266"/>
    <w:p w:rsidR="00CB0266" w:rsidRDefault="00CB0266"/>
    <w:tbl>
      <w:tblPr>
        <w:tblStyle w:val="TableGrid"/>
        <w:tblW w:w="0" w:type="auto"/>
        <w:tblLayout w:type="fixed"/>
        <w:tblLook w:val="04A0" w:firstRow="1" w:lastRow="0" w:firstColumn="1" w:lastColumn="0" w:noHBand="0" w:noVBand="1"/>
      </w:tblPr>
      <w:tblGrid>
        <w:gridCol w:w="4928"/>
        <w:gridCol w:w="4314"/>
      </w:tblGrid>
      <w:tr w:rsidR="00CB0266">
        <w:trPr>
          <w:trHeight w:val="2684"/>
        </w:trPr>
        <w:tc>
          <w:tcPr>
            <w:tcW w:w="4928" w:type="dxa"/>
            <w:tcBorders>
              <w:top w:val="nil"/>
              <w:left w:val="nil"/>
              <w:bottom w:val="nil"/>
              <w:right w:val="nil"/>
            </w:tcBorders>
          </w:tcPr>
          <w:p w:rsidR="00CB0266" w:rsidRDefault="00CB0266">
            <w:pPr>
              <w:jc w:val="both"/>
              <w:rPr>
                <w:rFonts w:ascii="Arial" w:hAnsi="Arial" w:cs="Arial"/>
              </w:rPr>
            </w:pPr>
          </w:p>
          <w:p w:rsidR="00CB0266" w:rsidRDefault="00CB0266">
            <w:pPr>
              <w:jc w:val="both"/>
              <w:rPr>
                <w:rFonts w:ascii="Arial" w:hAnsi="Arial" w:cs="Arial"/>
              </w:rPr>
            </w:pPr>
            <w:r>
              <w:rPr>
                <w:rFonts w:ascii="Arial" w:hAnsi="Arial" w:cs="Arial"/>
              </w:rPr>
              <w:t>Megan Wilson</w:t>
            </w:r>
          </w:p>
          <w:p w:rsidR="00CB0266" w:rsidRDefault="00CB0266">
            <w:pPr>
              <w:jc w:val="both"/>
              <w:rPr>
                <w:rFonts w:ascii="Arial" w:hAnsi="Arial" w:cs="Arial"/>
              </w:rPr>
            </w:pPr>
            <w:r>
              <w:rPr>
                <w:rFonts w:ascii="Arial" w:hAnsi="Arial" w:cs="Arial"/>
              </w:rPr>
              <w:t>Avant Homes (Central)</w:t>
            </w:r>
          </w:p>
          <w:p w:rsidR="00CB0266" w:rsidRDefault="00CB0266">
            <w:pPr>
              <w:jc w:val="both"/>
              <w:rPr>
                <w:rFonts w:ascii="Arial" w:hAnsi="Arial" w:cs="Arial"/>
              </w:rPr>
            </w:pPr>
            <w:r>
              <w:rPr>
                <w:rFonts w:ascii="Arial" w:hAnsi="Arial" w:cs="Arial"/>
              </w:rPr>
              <w:t>Unit C3 &amp; C4</w:t>
            </w:r>
          </w:p>
          <w:p w:rsidR="00CB0266" w:rsidRDefault="00CB0266">
            <w:pPr>
              <w:jc w:val="both"/>
              <w:rPr>
                <w:rFonts w:ascii="Arial" w:hAnsi="Arial" w:cs="Arial"/>
              </w:rPr>
            </w:pPr>
            <w:r>
              <w:rPr>
                <w:rFonts w:ascii="Arial" w:hAnsi="Arial" w:cs="Arial"/>
              </w:rPr>
              <w:t>Holmewood Business Park</w:t>
            </w:r>
          </w:p>
          <w:p w:rsidR="00CB0266" w:rsidRDefault="00CB0266">
            <w:pPr>
              <w:jc w:val="both"/>
              <w:rPr>
                <w:rFonts w:ascii="Arial" w:hAnsi="Arial" w:cs="Arial"/>
              </w:rPr>
            </w:pPr>
            <w:r>
              <w:rPr>
                <w:rFonts w:ascii="Arial" w:hAnsi="Arial" w:cs="Arial"/>
              </w:rPr>
              <w:t>Chesterfield</w:t>
            </w:r>
          </w:p>
          <w:p w:rsidR="00CB0266" w:rsidRDefault="00CB0266">
            <w:pPr>
              <w:jc w:val="both"/>
              <w:rPr>
                <w:rFonts w:ascii="Arial" w:hAnsi="Arial" w:cs="Arial"/>
              </w:rPr>
            </w:pPr>
            <w:r>
              <w:rPr>
                <w:rFonts w:ascii="Arial" w:hAnsi="Arial" w:cs="Arial"/>
              </w:rPr>
              <w:t>S42 5US</w:t>
            </w:r>
          </w:p>
        </w:tc>
        <w:tc>
          <w:tcPr>
            <w:tcW w:w="4314" w:type="dxa"/>
            <w:tcBorders>
              <w:top w:val="nil"/>
              <w:left w:val="nil"/>
              <w:bottom w:val="nil"/>
              <w:right w:val="nil"/>
            </w:tcBorders>
          </w:tcPr>
          <w:p w:rsidR="00CB0266" w:rsidRDefault="00CB0266">
            <w:pPr>
              <w:rPr>
                <w:rFonts w:ascii="Arial" w:hAnsi="Arial" w:cs="Arial"/>
              </w:rPr>
            </w:pPr>
          </w:p>
          <w:p w:rsidR="00CB0266" w:rsidRDefault="00CB0266">
            <w:pPr>
              <w:rPr>
                <w:rFonts w:ascii="Arial" w:hAnsi="Arial" w:cs="Arial"/>
              </w:rPr>
            </w:pPr>
            <w:r>
              <w:rPr>
                <w:rFonts w:ascii="Arial" w:hAnsi="Arial" w:cs="Arial"/>
              </w:rPr>
              <w:t>Our Ref:</w:t>
            </w:r>
            <w:r>
              <w:rPr>
                <w:rFonts w:ascii="Arial" w:hAnsi="Arial" w:cs="Arial"/>
                <w:i/>
                <w:iCs/>
              </w:rPr>
              <w:t xml:space="preserve"> </w:t>
            </w:r>
            <w:bookmarkStart w:id="0" w:name="_GoBack"/>
            <w:r>
              <w:rPr>
                <w:rFonts w:ascii="Arial" w:hAnsi="Arial" w:cs="Arial"/>
                <w:iCs/>
              </w:rPr>
              <w:t>21/00877/NMA</w:t>
            </w:r>
          </w:p>
          <w:bookmarkEnd w:id="0"/>
          <w:p w:rsidR="00CB0266" w:rsidRDefault="00CB0266">
            <w:pPr>
              <w:rPr>
                <w:rFonts w:ascii="Arial" w:hAnsi="Arial" w:cs="Arial"/>
              </w:rPr>
            </w:pPr>
            <w:r>
              <w:rPr>
                <w:rFonts w:ascii="Arial" w:hAnsi="Arial" w:cs="Arial"/>
              </w:rPr>
              <w:t xml:space="preserve">Officer: </w:t>
            </w:r>
            <w:r>
              <w:rPr>
                <w:rFonts w:ascii="Arial" w:hAnsi="Arial" w:cs="Arial"/>
                <w:bCs/>
              </w:rPr>
              <w:t>Jamie Elliott</w:t>
            </w:r>
          </w:p>
          <w:p w:rsidR="00CB0266" w:rsidRDefault="00CB0266">
            <w:pPr>
              <w:rPr>
                <w:rFonts w:ascii="Arial" w:hAnsi="Arial" w:cs="Arial"/>
              </w:rPr>
            </w:pPr>
            <w:r>
              <w:rPr>
                <w:rFonts w:ascii="Arial" w:hAnsi="Arial" w:cs="Arial"/>
              </w:rPr>
              <w:t xml:space="preserve">Email: </w:t>
            </w:r>
            <w:hyperlink r:id="rId6" w:history="1">
              <w:r>
                <w:rPr>
                  <w:rStyle w:val="Hyperlink"/>
                  <w:rFonts w:ascii="Arial" w:hAnsi="Arial" w:cs="Arial"/>
                </w:rPr>
                <w:t>planning@bassetlaw.gov.uk</w:t>
              </w:r>
            </w:hyperlink>
          </w:p>
          <w:p w:rsidR="00CB0266" w:rsidRDefault="00CB0266">
            <w:pPr>
              <w:rPr>
                <w:rFonts w:ascii="Arial" w:hAnsi="Arial" w:cs="Arial"/>
              </w:rPr>
            </w:pPr>
          </w:p>
          <w:p w:rsidR="00CB0266" w:rsidRDefault="00CB0266">
            <w:pPr>
              <w:rPr>
                <w:rFonts w:ascii="Arial" w:hAnsi="Arial" w:cs="Arial"/>
              </w:rPr>
            </w:pPr>
            <w:r>
              <w:rPr>
                <w:rFonts w:ascii="Arial" w:hAnsi="Arial" w:cs="Arial"/>
              </w:rPr>
              <w:t>10 June 2021</w:t>
            </w:r>
          </w:p>
        </w:tc>
      </w:tr>
    </w:tbl>
    <w:p w:rsidR="00CB0266" w:rsidRDefault="00CB0266">
      <w:pPr>
        <w:pStyle w:val="NoSpacing"/>
        <w:rPr>
          <w:rFonts w:ascii="Arial" w:hAnsi="Arial" w:cs="Arial"/>
        </w:rPr>
      </w:pPr>
    </w:p>
    <w:p w:rsidR="00CB0266" w:rsidRDefault="00C311FD">
      <w:pPr>
        <w:jc w:val="both"/>
        <w:rPr>
          <w:rFonts w:ascii="Arial" w:hAnsi="Arial" w:cs="Arial"/>
          <w:sz w:val="22"/>
          <w:szCs w:val="22"/>
        </w:rPr>
      </w:pPr>
      <w:r>
        <w:rPr>
          <w:rFonts w:ascii="Arial" w:hAnsi="Arial" w:cs="Arial"/>
          <w:sz w:val="22"/>
          <w:szCs w:val="22"/>
        </w:rPr>
        <w:t>Dear Sirs,</w:t>
      </w:r>
    </w:p>
    <w:p w:rsidR="00CB0266" w:rsidRDefault="00CB0266">
      <w:pPr>
        <w:jc w:val="both"/>
        <w:rPr>
          <w:rFonts w:ascii="Arial" w:hAnsi="Arial" w:cs="Arial"/>
          <w:sz w:val="22"/>
          <w:szCs w:val="22"/>
        </w:rPr>
      </w:pPr>
    </w:p>
    <w:tbl>
      <w:tblPr>
        <w:tblStyle w:val="TableGrid"/>
        <w:tblW w:w="0" w:type="auto"/>
        <w:tblLook w:val="04A0" w:firstRow="1" w:lastRow="0" w:firstColumn="1" w:lastColumn="0" w:noHBand="0" w:noVBand="1"/>
      </w:tblPr>
      <w:tblGrid>
        <w:gridCol w:w="1526"/>
        <w:gridCol w:w="7716"/>
      </w:tblGrid>
      <w:tr w:rsidR="00CB0266">
        <w:tc>
          <w:tcPr>
            <w:tcW w:w="1526" w:type="dxa"/>
            <w:tcBorders>
              <w:top w:val="nil"/>
              <w:left w:val="nil"/>
              <w:bottom w:val="nil"/>
              <w:right w:val="nil"/>
            </w:tcBorders>
          </w:tcPr>
          <w:p w:rsidR="00CB0266" w:rsidRDefault="00CB0266">
            <w:pPr>
              <w:rPr>
                <w:rFonts w:ascii="Arial" w:hAnsi="Arial" w:cs="Arial"/>
                <w:b/>
              </w:rPr>
            </w:pPr>
            <w:r>
              <w:rPr>
                <w:rFonts w:ascii="Arial" w:hAnsi="Arial" w:cs="Arial"/>
                <w:b/>
              </w:rPr>
              <w:t xml:space="preserve">Location </w:t>
            </w:r>
          </w:p>
        </w:tc>
        <w:tc>
          <w:tcPr>
            <w:tcW w:w="7716" w:type="dxa"/>
            <w:tcBorders>
              <w:top w:val="nil"/>
              <w:left w:val="nil"/>
              <w:bottom w:val="nil"/>
              <w:right w:val="nil"/>
            </w:tcBorders>
          </w:tcPr>
          <w:p w:rsidR="00CB0266" w:rsidRDefault="00CB0266">
            <w:pPr>
              <w:rPr>
                <w:rFonts w:ascii="Arial" w:hAnsi="Arial" w:cs="Arial"/>
              </w:rPr>
            </w:pPr>
            <w:r>
              <w:rPr>
                <w:rFonts w:ascii="Arial" w:hAnsi="Arial" w:cs="Arial"/>
              </w:rPr>
              <w:t>Land To The North East Of North Road Retford  Nottinghamshire</w:t>
            </w:r>
          </w:p>
        </w:tc>
      </w:tr>
      <w:tr w:rsidR="00CB0266">
        <w:tc>
          <w:tcPr>
            <w:tcW w:w="1526" w:type="dxa"/>
            <w:tcBorders>
              <w:top w:val="nil"/>
              <w:left w:val="nil"/>
              <w:bottom w:val="nil"/>
              <w:right w:val="nil"/>
            </w:tcBorders>
          </w:tcPr>
          <w:p w:rsidR="00CB0266" w:rsidRDefault="00CB0266">
            <w:pPr>
              <w:rPr>
                <w:rFonts w:ascii="Arial" w:hAnsi="Arial" w:cs="Arial"/>
                <w:b/>
              </w:rPr>
            </w:pPr>
            <w:r>
              <w:rPr>
                <w:rFonts w:ascii="Arial" w:hAnsi="Arial" w:cs="Arial"/>
                <w:b/>
              </w:rPr>
              <w:t>Proposal</w:t>
            </w:r>
          </w:p>
        </w:tc>
        <w:tc>
          <w:tcPr>
            <w:tcW w:w="7716" w:type="dxa"/>
            <w:tcBorders>
              <w:top w:val="nil"/>
              <w:left w:val="nil"/>
              <w:bottom w:val="nil"/>
              <w:right w:val="nil"/>
            </w:tcBorders>
          </w:tcPr>
          <w:p w:rsidR="00CB0266" w:rsidRDefault="00CB0266">
            <w:pPr>
              <w:rPr>
                <w:rFonts w:ascii="Arial" w:hAnsi="Arial" w:cs="Arial"/>
              </w:rPr>
            </w:pPr>
            <w:r>
              <w:rPr>
                <w:rFonts w:ascii="Arial" w:hAnsi="Arial" w:cs="Arial"/>
              </w:rPr>
              <w:t>Non Material Amendment of P.A. 20/01477/RES to Replace Approved Brick Selection</w:t>
            </w:r>
          </w:p>
        </w:tc>
      </w:tr>
    </w:tbl>
    <w:p w:rsidR="00CB0266" w:rsidRDefault="00CB026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rPr>
          <w:rFonts w:ascii="Arial" w:hAnsi="Arial" w:cs="Arial"/>
          <w:sz w:val="22"/>
          <w:szCs w:val="22"/>
          <w:lang w:eastAsia="en-GB"/>
        </w:rPr>
      </w:pPr>
    </w:p>
    <w:p w:rsidR="00A353DC" w:rsidRPr="00A353DC" w:rsidRDefault="00A353DC" w:rsidP="00A353DC">
      <w:pPr>
        <w:jc w:val="both"/>
        <w:rPr>
          <w:rFonts w:ascii="Arial" w:hAnsi="Arial" w:cs="Arial"/>
          <w:sz w:val="22"/>
          <w:szCs w:val="22"/>
        </w:rPr>
      </w:pPr>
      <w:r w:rsidRPr="00A353DC">
        <w:rPr>
          <w:rFonts w:ascii="Arial" w:hAnsi="Arial" w:cs="Arial"/>
          <w:sz w:val="22"/>
          <w:szCs w:val="22"/>
        </w:rPr>
        <w:t>I refer to the above application for which was granted conditionally on 15 March 2021 and to your application for a non-material amendment received on 3 June 2020.</w:t>
      </w:r>
    </w:p>
    <w:p w:rsidR="00A353DC" w:rsidRPr="00A353DC" w:rsidRDefault="00A353DC" w:rsidP="00A353DC">
      <w:pPr>
        <w:jc w:val="both"/>
        <w:rPr>
          <w:rFonts w:ascii="Arial" w:hAnsi="Arial" w:cs="Arial"/>
          <w:sz w:val="22"/>
          <w:szCs w:val="22"/>
        </w:rPr>
      </w:pPr>
    </w:p>
    <w:p w:rsidR="00A353DC" w:rsidRPr="00A353DC" w:rsidRDefault="00A353DC" w:rsidP="00A353DC">
      <w:pPr>
        <w:jc w:val="both"/>
        <w:rPr>
          <w:rFonts w:ascii="Arial" w:hAnsi="Arial" w:cs="Arial"/>
          <w:sz w:val="22"/>
          <w:szCs w:val="22"/>
        </w:rPr>
      </w:pPr>
      <w:r w:rsidRPr="00A353DC">
        <w:rPr>
          <w:rFonts w:ascii="Arial" w:hAnsi="Arial" w:cs="Arial"/>
          <w:sz w:val="22"/>
          <w:szCs w:val="22"/>
        </w:rPr>
        <w:t xml:space="preserve">On the basis of the information submitted, I can confirm that the </w:t>
      </w:r>
      <w:r>
        <w:rPr>
          <w:rFonts w:ascii="Arial" w:hAnsi="Arial" w:cs="Arial"/>
          <w:sz w:val="22"/>
          <w:szCs w:val="22"/>
        </w:rPr>
        <w:t xml:space="preserve">proposed </w:t>
      </w:r>
      <w:r w:rsidRPr="00A353DC">
        <w:rPr>
          <w:rFonts w:ascii="Arial" w:hAnsi="Arial" w:cs="Arial"/>
          <w:sz w:val="22"/>
          <w:szCs w:val="22"/>
        </w:rPr>
        <w:t>substitution of facing bricks to be used in the above development</w:t>
      </w:r>
      <w:r>
        <w:rPr>
          <w:rFonts w:ascii="Arial" w:hAnsi="Arial" w:cs="Arial"/>
          <w:sz w:val="22"/>
          <w:szCs w:val="22"/>
        </w:rPr>
        <w:t>,</w:t>
      </w:r>
      <w:r w:rsidRPr="00A353DC">
        <w:rPr>
          <w:rFonts w:ascii="Arial" w:hAnsi="Arial" w:cs="Arial"/>
          <w:sz w:val="22"/>
          <w:szCs w:val="22"/>
        </w:rPr>
        <w:t xml:space="preserve"> would not materially alter the scheme permitted under planning application reference number 20/01477/RES. As such, the submission of a further full planning application will not be required in this instance.</w:t>
      </w:r>
    </w:p>
    <w:p w:rsidR="00CB0266" w:rsidRDefault="00CB0266">
      <w:pPr>
        <w:jc w:val="both"/>
        <w:rPr>
          <w:rFonts w:ascii="Arial" w:hAnsi="Arial" w:cs="Arial"/>
          <w:sz w:val="22"/>
          <w:szCs w:val="22"/>
          <w:lang w:eastAsia="en-GB"/>
        </w:rPr>
      </w:pPr>
    </w:p>
    <w:p w:rsidR="00CB0266" w:rsidRDefault="00CB0266">
      <w:pPr>
        <w:pStyle w:val="NoSpacing"/>
        <w:jc w:val="both"/>
        <w:rPr>
          <w:rFonts w:ascii="Arial" w:hAnsi="Arial" w:cs="Arial"/>
        </w:rPr>
      </w:pPr>
      <w:r>
        <w:rPr>
          <w:rFonts w:ascii="Arial" w:hAnsi="Arial" w:cs="Arial"/>
        </w:rPr>
        <w:t xml:space="preserve">Please be aware that the Council has now adopted its Community Infrastructure Levy (CIL) charging schedule, which applies to all applications </w:t>
      </w:r>
      <w:r>
        <w:rPr>
          <w:rFonts w:ascii="Arial" w:hAnsi="Arial" w:cs="Arial"/>
          <w:b/>
          <w:bCs/>
        </w:rPr>
        <w:t>determined</w:t>
      </w:r>
      <w:r>
        <w:rPr>
          <w:rFonts w:ascii="Arial" w:hAnsi="Arial" w:cs="Arial"/>
        </w:rPr>
        <w:t xml:space="preserve"> after 1 September 2013 </w:t>
      </w:r>
      <w:r>
        <w:rPr>
          <w:rFonts w:ascii="Arial" w:hAnsi="Arial" w:cs="Arial"/>
          <w:b/>
          <w:bCs/>
        </w:rPr>
        <w:t>regardless of when they were submitted</w:t>
      </w:r>
      <w:r>
        <w:rPr>
          <w:rFonts w:ascii="Arial" w:hAnsi="Arial" w:cs="Arial"/>
        </w:rPr>
        <w:t>. The CIL is a charge that local authorities in England and Wales can require of most types of new development in their area (based on £X per sqm of floor space), in order to pay for the infrastructure needed to support development. CIL charges are based on the size, type and location of the development proposed. Where applicable (please note that there are exceptions) all net increases in floor space for residential, some commercial and retail developments will have to pay a CIL charge. For more details, please visit:</w:t>
      </w:r>
    </w:p>
    <w:p w:rsidR="00CB0266" w:rsidRDefault="00CB0266">
      <w:pPr>
        <w:pStyle w:val="NoSpacing"/>
        <w:jc w:val="both"/>
        <w:rPr>
          <w:rFonts w:ascii="Arial" w:hAnsi="Arial" w:cs="Arial"/>
        </w:rPr>
      </w:pPr>
    </w:p>
    <w:p w:rsidR="00CB0266" w:rsidRDefault="006506DA">
      <w:pPr>
        <w:pStyle w:val="NoSpacing"/>
        <w:jc w:val="both"/>
        <w:rPr>
          <w:rFonts w:ascii="Arial" w:hAnsi="Arial" w:cs="Arial"/>
        </w:rPr>
      </w:pPr>
      <w:hyperlink r:id="rId7" w:history="1">
        <w:r w:rsidRPr="00B16FC7">
          <w:rPr>
            <w:rStyle w:val="Hyperlink"/>
            <w:rFonts w:ascii="Arial" w:hAnsi="Arial" w:cs="Arial"/>
          </w:rPr>
          <w:t>www.bassetlaw.gov.uk/planning-and-building/planning-services/community-infrastructure-levy/</w:t>
        </w:r>
      </w:hyperlink>
    </w:p>
    <w:p w:rsidR="00CB0266" w:rsidRDefault="00CB0266">
      <w:pPr>
        <w:pStyle w:val="NoSpacing"/>
        <w:jc w:val="both"/>
        <w:rPr>
          <w:rFonts w:ascii="Arial" w:hAnsi="Arial" w:cs="Arial"/>
        </w:rPr>
      </w:pPr>
    </w:p>
    <w:p w:rsidR="00CB0266" w:rsidRDefault="00CB0266">
      <w:pPr>
        <w:pStyle w:val="NoSpacing"/>
        <w:jc w:val="both"/>
        <w:rPr>
          <w:rFonts w:ascii="Arial" w:hAnsi="Arial" w:cs="Arial"/>
        </w:rPr>
      </w:pPr>
      <w:r>
        <w:rPr>
          <w:rFonts w:ascii="Arial" w:hAnsi="Arial" w:cs="Arial"/>
          <w:iCs/>
        </w:rPr>
        <w:t>Please note that planning applications which are refused prior to 1</w:t>
      </w:r>
      <w:r>
        <w:rPr>
          <w:rFonts w:ascii="Arial" w:hAnsi="Arial" w:cs="Arial"/>
          <w:iCs/>
          <w:vertAlign w:val="superscript"/>
        </w:rPr>
        <w:t>st</w:t>
      </w:r>
      <w:r>
        <w:rPr>
          <w:rFonts w:ascii="Arial" w:hAnsi="Arial" w:cs="Arial"/>
          <w:iCs/>
        </w:rPr>
        <w:t xml:space="preserve"> September 2013 but which are subsequently approved on appeal after this date may be liable for CIL</w:t>
      </w:r>
      <w:r>
        <w:rPr>
          <w:rFonts w:ascii="Arial" w:hAnsi="Arial" w:cs="Arial"/>
        </w:rPr>
        <w:t>.</w:t>
      </w:r>
    </w:p>
    <w:p w:rsidR="00CB0266" w:rsidRDefault="00CB0266">
      <w:pPr>
        <w:pStyle w:val="NoSpacing"/>
        <w:rPr>
          <w:rFonts w:ascii="Arial" w:hAnsi="Arial" w:cs="Arial"/>
        </w:rPr>
      </w:pPr>
    </w:p>
    <w:p w:rsidR="007B0CB8" w:rsidRDefault="0001239E" w:rsidP="007B0CB8">
      <w:pPr>
        <w:ind w:right="-143"/>
        <w:rPr>
          <w:rFonts w:cs="Arial"/>
          <w:lang w:eastAsia="en-GB"/>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-68580</wp:posOffset>
                </wp:positionH>
                <wp:positionV relativeFrom="paragraph">
                  <wp:posOffset>200025</wp:posOffset>
                </wp:positionV>
                <wp:extent cx="767080" cy="4603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CB8" w:rsidRDefault="001455A4" w:rsidP="007B0CB8">
                            <w:r w:rsidRPr="001455A4">
                              <w:rPr>
                                <w:rFonts w:asciiTheme="minorHAnsi" w:hAnsiTheme="minorHAnsi" w:cs="Calibri"/>
                                <w:noProof/>
                                <w:sz w:val="20"/>
                                <w:lang w:eastAsia="en-GB"/>
                              </w:rPr>
                              <w:drawing>
                                <wp:inline distT="0" distB="0" distL="0" distR="0">
                                  <wp:extent cx="1000125" cy="7239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15.75pt;width:60.4pt;height:3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EAgAIAAA4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" stroked="f">
                <v:textbox>
                  <w:txbxContent>
                    <w:p w:rsidR="007B0CB8" w:rsidRDefault="001455A4" w:rsidP="007B0CB8">
                      <w:r w:rsidRPr="001455A4">
                        <w:rPr>
                          <w:rFonts w:asciiTheme="minorHAnsi" w:hAnsiTheme="minorHAnsi" w:cs="Calibri"/>
                          <w:noProof/>
                          <w:sz w:val="20"/>
                          <w:lang w:eastAsia="en-GB"/>
                        </w:rPr>
                        <w:drawing>
                          <wp:inline distT="0" distB="0" distL="0" distR="0">
                            <wp:extent cx="1000125" cy="7239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723900"/>
                                    </a:xfrm>
                                    <a:prstGeom prst="rect">
                                      <a:avLst/>
                                    </a:prstGeom>
                                    <a:noFill/>
                                    <a:ln>
                                      <a:noFill/>
                                    </a:ln>
                                  </pic:spPr>
                                </pic:pic>
                              </a:graphicData>
                            </a:graphic>
                          </wp:inline>
                        </w:drawing>
                      </w:r>
                    </w:p>
                  </w:txbxContent>
                </v:textbox>
              </v:shape>
            </w:pict>
          </mc:Fallback>
        </mc:AlternateContent>
      </w:r>
      <w:r w:rsidR="006506DA">
        <w:rPr>
          <w:rFonts w:ascii="Arial" w:hAnsi="Arial" w:cs="Arial"/>
          <w:lang w:eastAsia="en-GB"/>
        </w:rPr>
        <w:t>Yours faithfully</w:t>
      </w:r>
    </w:p>
    <w:p w:rsidR="007B0CB8" w:rsidRDefault="007B0CB8" w:rsidP="007B0CB8">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rPr>
          <w:sz w:val="22"/>
          <w:szCs w:val="22"/>
        </w:rPr>
      </w:pPr>
    </w:p>
    <w:p w:rsidR="007B0CB8" w:rsidRDefault="007B0CB8" w:rsidP="007B0CB8">
      <w:pPr>
        <w:pStyle w:val="Normal0"/>
        <w:rPr>
          <w:sz w:val="22"/>
          <w:szCs w:val="22"/>
        </w:rPr>
      </w:pPr>
    </w:p>
    <w:p w:rsidR="007B0CB8" w:rsidRDefault="007B0CB8" w:rsidP="007B0CB8">
      <w:pPr>
        <w:pStyle w:val="Normal0"/>
        <w:rPr>
          <w:sz w:val="22"/>
          <w:szCs w:val="22"/>
        </w:rPr>
      </w:pPr>
    </w:p>
    <w:p w:rsidR="007B0CB8" w:rsidRDefault="007B0CB8" w:rsidP="007B0CB8">
      <w:pPr>
        <w:pStyle w:val="Normal0"/>
        <w:rPr>
          <w:sz w:val="22"/>
          <w:szCs w:val="22"/>
        </w:rPr>
      </w:pPr>
    </w:p>
    <w:p w:rsidR="007B0CB8" w:rsidRDefault="007B0CB8" w:rsidP="007B0CB8">
      <w:pPr>
        <w:pStyle w:val="Normal0"/>
        <w:rPr>
          <w:sz w:val="22"/>
          <w:szCs w:val="22"/>
        </w:rPr>
      </w:pPr>
    </w:p>
    <w:p w:rsidR="007B0CB8" w:rsidRDefault="007B0CB8" w:rsidP="007B0CB8">
      <w:pPr>
        <w:pStyle w:val="Normal0"/>
        <w:rPr>
          <w:sz w:val="22"/>
          <w:szCs w:val="22"/>
        </w:rPr>
      </w:pPr>
    </w:p>
    <w:p w:rsidR="00CB0266" w:rsidRDefault="007B0CB8" w:rsidP="00A353DC">
      <w:pPr>
        <w:pStyle w:val="Normal0"/>
      </w:pPr>
      <w:r>
        <w:rPr>
          <w:sz w:val="22"/>
          <w:szCs w:val="22"/>
        </w:rPr>
        <w:t>Development Team Manager</w:t>
      </w:r>
    </w:p>
    <w:sectPr w:rsidR="00CB0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DA"/>
    <w:rsid w:val="0001239E"/>
    <w:rsid w:val="001455A4"/>
    <w:rsid w:val="006506DA"/>
    <w:rsid w:val="007B0CB8"/>
    <w:rsid w:val="00970AC7"/>
    <w:rsid w:val="00A353DC"/>
    <w:rsid w:val="00B16FC7"/>
    <w:rsid w:val="00C311FD"/>
    <w:rsid w:val="00CB0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36506ECF-6D60-4A55-A956-A15DEE50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Calibri" w:hAnsi="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pPr>
      <w:autoSpaceDE w:val="0"/>
      <w:autoSpaceDN w:val="0"/>
      <w:adjustRightInd w:val="0"/>
    </w:pPr>
    <w:rPr>
      <w:rFonts w:ascii="Arial" w:hAnsi="Arial" w:cs="Arial"/>
      <w:sz w:val="24"/>
      <w:szCs w:val="24"/>
      <w:lang w:eastAsia="en-US"/>
    </w:rPr>
  </w:style>
  <w:style w:type="paragraph" w:styleId="NoSpacing">
    <w:name w:val="No Spacing"/>
    <w:uiPriority w:val="1"/>
    <w:qFormat/>
    <w:rPr>
      <w:rFonts w:asciiTheme="minorHAnsi" w:hAnsiTheme="minorHAnsi"/>
      <w:sz w:val="22"/>
      <w:szCs w:val="22"/>
      <w:lang w:eastAsia="en-US"/>
    </w:rPr>
  </w:style>
  <w:style w:type="character" w:styleId="Hyperlink">
    <w:name w:val="Hyperlink"/>
    <w:basedOn w:val="DefaultParagraphFont"/>
    <w:uiPriority w:val="99"/>
    <w:unhideWhenUsed/>
    <w:rPr>
      <w:rFonts w:cs="Times New Roman"/>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FollowedHyperlink">
    <w:name w:val="FollowedHyperlink"/>
    <w:basedOn w:val="DefaultParagraphFont"/>
    <w:uiPriority w:val="99"/>
    <w:rsid w:val="006506DA"/>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44736">
      <w:marLeft w:val="0"/>
      <w:marRight w:val="0"/>
      <w:marTop w:val="0"/>
      <w:marBottom w:val="0"/>
      <w:divBdr>
        <w:top w:val="none" w:sz="0" w:space="0" w:color="auto"/>
        <w:left w:val="none" w:sz="0" w:space="0" w:color="auto"/>
        <w:bottom w:val="none" w:sz="0" w:space="0" w:color="auto"/>
        <w:right w:val="none" w:sz="0" w:space="0" w:color="auto"/>
      </w:divBdr>
    </w:div>
    <w:div w:id="324944737">
      <w:marLeft w:val="0"/>
      <w:marRight w:val="0"/>
      <w:marTop w:val="0"/>
      <w:marBottom w:val="0"/>
      <w:divBdr>
        <w:top w:val="none" w:sz="0" w:space="0" w:color="auto"/>
        <w:left w:val="none" w:sz="0" w:space="0" w:color="auto"/>
        <w:bottom w:val="none" w:sz="0" w:space="0" w:color="auto"/>
        <w:right w:val="none" w:sz="0" w:space="0" w:color="auto"/>
      </w:divBdr>
    </w:div>
    <w:div w:id="324944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http://www.bassetlaw.gov.uk/planning-and-building/planning-services/community-infrastructure-lev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nning@bassetlaw.gov.u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Huffen</dc:creator>
  <cp:keywords/>
  <dc:description/>
  <cp:lastModifiedBy>Lisa Taylor</cp:lastModifiedBy>
  <cp:revision>2</cp:revision>
  <dcterms:created xsi:type="dcterms:W3CDTF">2021-06-10T13:59:00Z</dcterms:created>
  <dcterms:modified xsi:type="dcterms:W3CDTF">2021-06-10T13:59:00Z</dcterms:modified>
</cp:coreProperties>
</file>