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6F22" w14:textId="77777777" w:rsidR="00947C69" w:rsidRDefault="00947C69"/>
    <w:p w14:paraId="7A06469C" w14:textId="77777777" w:rsidR="00947C69" w:rsidRDefault="00947C69"/>
    <w:p w14:paraId="5DCFD804" w14:textId="77777777" w:rsidR="00947C69" w:rsidRDefault="00947C69"/>
    <w:p w14:paraId="099EE959" w14:textId="77777777" w:rsidR="00947C69" w:rsidRDefault="00947C69"/>
    <w:p w14:paraId="306AB148" w14:textId="77777777" w:rsidR="00947C69" w:rsidRDefault="00947C69"/>
    <w:p w14:paraId="081FE89B" w14:textId="77777777" w:rsidR="00947C69" w:rsidRDefault="00947C69"/>
    <w:p w14:paraId="4B2B46CB" w14:textId="77777777" w:rsidR="00947C69" w:rsidRDefault="00947C69"/>
    <w:p w14:paraId="5647B455" w14:textId="77777777" w:rsidR="00947C69" w:rsidRDefault="00947C69"/>
    <w:p w14:paraId="17DE11E0"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Andrew Stell</w:t>
      </w:r>
    </w:p>
    <w:p w14:paraId="3D606E8E"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 xml:space="preserve">Development Manager </w:t>
      </w:r>
    </w:p>
    <w:p w14:paraId="377E0F8F"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Fylde Borough Council</w:t>
      </w:r>
    </w:p>
    <w:p w14:paraId="7A27AFD8"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The Town Hall</w:t>
      </w:r>
    </w:p>
    <w:p w14:paraId="5F91FBEF"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Lytham St Anne’s</w:t>
      </w:r>
    </w:p>
    <w:p w14:paraId="7E7AF36F" w14:textId="77777777" w:rsidR="00927F94"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FY8 1LW</w:t>
      </w:r>
    </w:p>
    <w:p w14:paraId="4DD9F3F1" w14:textId="77777777" w:rsidR="00927F94" w:rsidRDefault="00927F94" w:rsidP="00927F94">
      <w:pPr>
        <w:pStyle w:val="Header"/>
        <w:rPr>
          <w:rFonts w:ascii="Arial" w:eastAsia="Times New Roman" w:hAnsi="Arial" w:cs="Arial"/>
          <w:szCs w:val="24"/>
          <w:lang w:eastAsia="en-GB"/>
        </w:rPr>
      </w:pPr>
    </w:p>
    <w:p w14:paraId="3D703FE4" w14:textId="55E0B350" w:rsidR="00947C69" w:rsidRPr="00927F94" w:rsidRDefault="00927F94" w:rsidP="00927F94">
      <w:pPr>
        <w:pStyle w:val="Header"/>
        <w:rPr>
          <w:rFonts w:ascii="Arial" w:eastAsia="Times New Roman" w:hAnsi="Arial" w:cs="Arial"/>
          <w:szCs w:val="24"/>
          <w:lang w:eastAsia="en-GB"/>
        </w:rPr>
      </w:pPr>
      <w:r w:rsidRPr="00927F94">
        <w:rPr>
          <w:rFonts w:ascii="Arial" w:eastAsia="Times New Roman" w:hAnsi="Arial" w:cs="Arial"/>
          <w:szCs w:val="24"/>
          <w:lang w:eastAsia="en-GB"/>
        </w:rPr>
        <w:t>1</w:t>
      </w:r>
      <w:r w:rsidR="002A184E">
        <w:rPr>
          <w:rFonts w:ascii="Arial" w:eastAsia="Times New Roman" w:hAnsi="Arial" w:cs="Arial"/>
          <w:szCs w:val="24"/>
          <w:lang w:eastAsia="en-GB"/>
        </w:rPr>
        <w:t>3</w:t>
      </w:r>
      <w:r w:rsidRPr="00927F94">
        <w:rPr>
          <w:rFonts w:ascii="Arial" w:eastAsia="Times New Roman" w:hAnsi="Arial" w:cs="Arial"/>
          <w:szCs w:val="24"/>
          <w:lang w:eastAsia="en-GB"/>
        </w:rPr>
        <w:t xml:space="preserve">th </w:t>
      </w:r>
      <w:r w:rsidR="002A184E">
        <w:rPr>
          <w:rFonts w:ascii="Arial" w:eastAsia="Times New Roman" w:hAnsi="Arial" w:cs="Arial"/>
          <w:szCs w:val="24"/>
          <w:lang w:eastAsia="en-GB"/>
        </w:rPr>
        <w:t>Sept</w:t>
      </w:r>
      <w:r w:rsidRPr="00927F94">
        <w:rPr>
          <w:rFonts w:ascii="Arial" w:eastAsia="Times New Roman" w:hAnsi="Arial" w:cs="Arial"/>
          <w:szCs w:val="24"/>
          <w:lang w:eastAsia="en-GB"/>
        </w:rPr>
        <w:t>ember 20</w:t>
      </w:r>
      <w:r w:rsidR="002A184E">
        <w:rPr>
          <w:rFonts w:ascii="Arial" w:eastAsia="Times New Roman" w:hAnsi="Arial" w:cs="Arial"/>
          <w:szCs w:val="24"/>
          <w:lang w:eastAsia="en-GB"/>
        </w:rPr>
        <w:t>2</w:t>
      </w:r>
      <w:r w:rsidRPr="00927F94">
        <w:rPr>
          <w:rFonts w:ascii="Arial" w:eastAsia="Times New Roman" w:hAnsi="Arial" w:cs="Arial"/>
          <w:szCs w:val="24"/>
          <w:lang w:eastAsia="en-GB"/>
        </w:rPr>
        <w:t xml:space="preserve">1    </w:t>
      </w:r>
    </w:p>
    <w:p w14:paraId="164FD16B" w14:textId="77777777" w:rsidR="00947C69" w:rsidRDefault="00947C69" w:rsidP="00947C69">
      <w:pPr>
        <w:rPr>
          <w:rFonts w:ascii="Arial" w:hAnsi="Arial" w:cs="Arial"/>
          <w:sz w:val="22"/>
        </w:rPr>
      </w:pPr>
    </w:p>
    <w:p w14:paraId="0F21A335" w14:textId="77777777" w:rsidR="0054163C" w:rsidRPr="00A76E7A" w:rsidRDefault="0054163C" w:rsidP="00947C69">
      <w:pPr>
        <w:rPr>
          <w:rFonts w:ascii="Arial" w:hAnsi="Arial" w:cs="Arial"/>
          <w:sz w:val="22"/>
        </w:rPr>
      </w:pPr>
    </w:p>
    <w:p w14:paraId="187ED79D" w14:textId="77777777" w:rsidR="00947C69" w:rsidRDefault="00947C69" w:rsidP="00947C69">
      <w:pPr>
        <w:rPr>
          <w:rFonts w:ascii="Arial" w:hAnsi="Arial" w:cs="Arial"/>
          <w:sz w:val="22"/>
        </w:rPr>
      </w:pPr>
      <w:r>
        <w:rPr>
          <w:rFonts w:ascii="Arial" w:hAnsi="Arial" w:cs="Arial"/>
          <w:sz w:val="22"/>
        </w:rPr>
        <w:t xml:space="preserve">Dear </w:t>
      </w:r>
      <w:r w:rsidR="00927F94">
        <w:rPr>
          <w:rFonts w:ascii="Arial" w:hAnsi="Arial" w:cs="Arial"/>
          <w:sz w:val="22"/>
        </w:rPr>
        <w:t>Andrew</w:t>
      </w:r>
    </w:p>
    <w:p w14:paraId="55224DB8" w14:textId="77777777" w:rsidR="00947C69" w:rsidRDefault="00947C69" w:rsidP="00947C69">
      <w:pPr>
        <w:rPr>
          <w:rFonts w:ascii="Arial" w:hAnsi="Arial" w:cs="Arial"/>
          <w:sz w:val="22"/>
        </w:rPr>
      </w:pPr>
    </w:p>
    <w:p w14:paraId="200C61B7" w14:textId="243FB340" w:rsidR="00927F94" w:rsidRPr="00927F94" w:rsidRDefault="00947C69" w:rsidP="00927F94">
      <w:pPr>
        <w:rPr>
          <w:rFonts w:ascii="Arial" w:hAnsi="Arial" w:cs="Arial"/>
          <w:b/>
          <w:sz w:val="22"/>
        </w:rPr>
      </w:pPr>
      <w:r>
        <w:rPr>
          <w:rFonts w:ascii="Arial" w:hAnsi="Arial" w:cs="Arial"/>
          <w:b/>
          <w:sz w:val="22"/>
        </w:rPr>
        <w:t xml:space="preserve">Re: </w:t>
      </w:r>
      <w:r w:rsidR="00927F94">
        <w:rPr>
          <w:rFonts w:ascii="Arial" w:hAnsi="Arial" w:cs="Arial"/>
          <w:b/>
          <w:sz w:val="22"/>
        </w:rPr>
        <w:tab/>
      </w:r>
      <w:r w:rsidR="00927F94" w:rsidRPr="00927F94">
        <w:rPr>
          <w:rFonts w:ascii="Arial" w:hAnsi="Arial" w:cs="Arial"/>
          <w:b/>
          <w:sz w:val="22"/>
        </w:rPr>
        <w:t xml:space="preserve">Planning Application No </w:t>
      </w:r>
      <w:r w:rsidR="002A184E">
        <w:rPr>
          <w:rFonts w:ascii="Arial" w:hAnsi="Arial" w:cs="Arial"/>
          <w:b/>
          <w:sz w:val="22"/>
        </w:rPr>
        <w:t>21</w:t>
      </w:r>
      <w:r w:rsidR="00927F94" w:rsidRPr="00927F94">
        <w:rPr>
          <w:rFonts w:ascii="Arial" w:hAnsi="Arial" w:cs="Arial"/>
          <w:b/>
          <w:sz w:val="22"/>
        </w:rPr>
        <w:t>/</w:t>
      </w:r>
      <w:r w:rsidR="002A184E">
        <w:rPr>
          <w:rFonts w:ascii="Arial" w:hAnsi="Arial" w:cs="Arial"/>
          <w:b/>
          <w:sz w:val="22"/>
        </w:rPr>
        <w:t>0811</w:t>
      </w:r>
    </w:p>
    <w:p w14:paraId="160D631A" w14:textId="77777777" w:rsidR="00947C69" w:rsidRPr="00A76E7A" w:rsidRDefault="00947C69" w:rsidP="00947C69">
      <w:pPr>
        <w:rPr>
          <w:rFonts w:ascii="Arial" w:hAnsi="Arial" w:cs="Arial"/>
          <w:b/>
          <w:sz w:val="22"/>
        </w:rPr>
      </w:pPr>
    </w:p>
    <w:p w14:paraId="1A9FAA13"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NHS Fylde &amp; Wyre Clinical Commissioning Group (CCG) has delegated co-commissioning responsibility for general practice services in Fylde and Wyre and is the body that reviews planning applications to assess the direct impact on general practice. </w:t>
      </w:r>
    </w:p>
    <w:p w14:paraId="7A4C5545" w14:textId="77777777" w:rsidR="0054163C" w:rsidRPr="0054163C" w:rsidRDefault="0054163C" w:rsidP="0054163C">
      <w:pPr>
        <w:pStyle w:val="Header"/>
        <w:jc w:val="both"/>
        <w:rPr>
          <w:rFonts w:ascii="Arial" w:eastAsia="Times New Roman" w:hAnsi="Arial" w:cs="Arial"/>
          <w:szCs w:val="24"/>
          <w:lang w:eastAsia="en-GB"/>
        </w:rPr>
      </w:pPr>
    </w:p>
    <w:p w14:paraId="3248C220" w14:textId="6398CC16" w:rsidR="0054163C" w:rsidRDefault="002A184E" w:rsidP="002A184E">
      <w:pPr>
        <w:autoSpaceDE w:val="0"/>
        <w:autoSpaceDN w:val="0"/>
        <w:adjustRightInd w:val="0"/>
        <w:jc w:val="both"/>
        <w:rPr>
          <w:rFonts w:ascii="Arial" w:eastAsia="TimesNewRomanPSMT" w:hAnsi="Arial" w:cs="Arial"/>
          <w:sz w:val="22"/>
          <w:szCs w:val="22"/>
        </w:rPr>
      </w:pPr>
      <w:r>
        <w:rPr>
          <w:rFonts w:ascii="Arial" w:hAnsi="Arial" w:cs="Arial"/>
          <w:sz w:val="22"/>
          <w:szCs w:val="22"/>
        </w:rPr>
        <w:t>I</w:t>
      </w:r>
      <w:r w:rsidRPr="002A184E">
        <w:rPr>
          <w:rFonts w:ascii="Arial" w:hAnsi="Arial" w:cs="Arial"/>
          <w:sz w:val="22"/>
          <w:szCs w:val="22"/>
        </w:rPr>
        <w:t xml:space="preserve"> refer to the above </w:t>
      </w:r>
      <w:r>
        <w:rPr>
          <w:rFonts w:ascii="Arial" w:hAnsi="Arial" w:cs="Arial"/>
          <w:sz w:val="22"/>
          <w:szCs w:val="22"/>
        </w:rPr>
        <w:t>P</w:t>
      </w:r>
      <w:r w:rsidRPr="002A184E">
        <w:rPr>
          <w:rFonts w:ascii="Arial" w:hAnsi="Arial" w:cs="Arial"/>
          <w:sz w:val="22"/>
          <w:szCs w:val="22"/>
        </w:rPr>
        <w:t xml:space="preserve">lanning </w:t>
      </w:r>
      <w:r>
        <w:rPr>
          <w:rFonts w:ascii="Arial" w:hAnsi="Arial" w:cs="Arial"/>
          <w:sz w:val="22"/>
          <w:szCs w:val="22"/>
        </w:rPr>
        <w:t>A</w:t>
      </w:r>
      <w:r w:rsidRPr="002A184E">
        <w:rPr>
          <w:rFonts w:ascii="Arial" w:hAnsi="Arial" w:cs="Arial"/>
          <w:sz w:val="22"/>
          <w:szCs w:val="22"/>
        </w:rPr>
        <w:t xml:space="preserve">pplication which concerns the </w:t>
      </w:r>
      <w:r>
        <w:rPr>
          <w:rFonts w:ascii="Arial" w:hAnsi="Arial" w:cs="Arial"/>
          <w:sz w:val="22"/>
          <w:szCs w:val="22"/>
        </w:rPr>
        <w:t>P</w:t>
      </w:r>
      <w:r w:rsidRPr="002A184E">
        <w:rPr>
          <w:rFonts w:ascii="Arial" w:hAnsi="Arial" w:cs="Arial"/>
          <w:sz w:val="22"/>
          <w:szCs w:val="22"/>
        </w:rPr>
        <w:t xml:space="preserve">roposed </w:t>
      </w:r>
      <w:r>
        <w:rPr>
          <w:rFonts w:ascii="Arial" w:hAnsi="Arial" w:cs="Arial"/>
          <w:sz w:val="22"/>
          <w:szCs w:val="22"/>
        </w:rPr>
        <w:t>O</w:t>
      </w:r>
      <w:r w:rsidRPr="002A184E">
        <w:rPr>
          <w:rFonts w:ascii="Arial" w:eastAsia="TimesNewRomanPSMT" w:hAnsi="Arial" w:cs="Arial"/>
          <w:sz w:val="22"/>
          <w:szCs w:val="22"/>
          <w:lang w:eastAsia="en-US"/>
        </w:rPr>
        <w:t xml:space="preserve">utline Application for a residential development of up to 52 dwellings including associated infrastructure following demolition and removal of existing </w:t>
      </w:r>
      <w:r w:rsidRPr="002A184E">
        <w:rPr>
          <w:rFonts w:ascii="Arial" w:eastAsia="TimesNewRomanPSMT" w:hAnsi="Arial" w:cs="Arial"/>
          <w:sz w:val="22"/>
          <w:szCs w:val="22"/>
        </w:rPr>
        <w:t xml:space="preserve">dwelling, </w:t>
      </w:r>
      <w:proofErr w:type="gramStart"/>
      <w:r w:rsidRPr="002A184E">
        <w:rPr>
          <w:rFonts w:ascii="Arial" w:eastAsia="TimesNewRomanPSMT" w:hAnsi="Arial" w:cs="Arial"/>
          <w:sz w:val="22"/>
          <w:szCs w:val="22"/>
        </w:rPr>
        <w:t>stables</w:t>
      </w:r>
      <w:proofErr w:type="gramEnd"/>
      <w:r w:rsidRPr="002A184E">
        <w:rPr>
          <w:rFonts w:ascii="Arial" w:eastAsia="TimesNewRomanPSMT" w:hAnsi="Arial" w:cs="Arial"/>
          <w:sz w:val="22"/>
          <w:szCs w:val="22"/>
        </w:rPr>
        <w:t xml:space="preserve"> and paddocks (access applied for with all other matters reserved)</w:t>
      </w:r>
      <w:r>
        <w:rPr>
          <w:rFonts w:ascii="Arial" w:eastAsia="TimesNewRomanPSMT" w:hAnsi="Arial" w:cs="Arial"/>
          <w:sz w:val="22"/>
          <w:szCs w:val="22"/>
        </w:rPr>
        <w:t xml:space="preserve"> on</w:t>
      </w:r>
      <w:r w:rsidR="00826369">
        <w:rPr>
          <w:rFonts w:ascii="Arial" w:eastAsia="TimesNewRomanPSMT" w:hAnsi="Arial" w:cs="Arial"/>
          <w:sz w:val="22"/>
          <w:szCs w:val="22"/>
        </w:rPr>
        <w:t xml:space="preserve"> </w:t>
      </w:r>
      <w:r>
        <w:rPr>
          <w:rFonts w:ascii="Arial" w:eastAsia="TimesNewRomanPSMT" w:hAnsi="Arial" w:cs="Arial"/>
          <w:sz w:val="22"/>
          <w:szCs w:val="22"/>
        </w:rPr>
        <w:t>L</w:t>
      </w:r>
      <w:r w:rsidRPr="002A184E">
        <w:rPr>
          <w:rFonts w:ascii="Arial" w:eastAsia="TimesNewRomanPSMT" w:hAnsi="Arial" w:cs="Arial"/>
          <w:sz w:val="22"/>
          <w:szCs w:val="22"/>
        </w:rPr>
        <w:t xml:space="preserve">and at </w:t>
      </w:r>
      <w:proofErr w:type="spellStart"/>
      <w:r>
        <w:rPr>
          <w:rFonts w:ascii="Arial" w:eastAsia="TimesNewRomanPSMT" w:hAnsi="Arial" w:cs="Arial"/>
          <w:sz w:val="22"/>
          <w:szCs w:val="22"/>
        </w:rPr>
        <w:t>R</w:t>
      </w:r>
      <w:r w:rsidRPr="002A184E">
        <w:rPr>
          <w:rFonts w:ascii="Arial" w:eastAsia="TimesNewRomanPSMT" w:hAnsi="Arial" w:cs="Arial"/>
          <w:sz w:val="22"/>
          <w:szCs w:val="22"/>
        </w:rPr>
        <w:t>oseacre</w:t>
      </w:r>
      <w:proofErr w:type="spellEnd"/>
      <w:r w:rsidRPr="002A184E">
        <w:rPr>
          <w:rFonts w:ascii="Arial" w:eastAsia="TimesNewRomanPSMT" w:hAnsi="Arial" w:cs="Arial"/>
          <w:sz w:val="22"/>
          <w:szCs w:val="22"/>
        </w:rPr>
        <w:t xml:space="preserve">, </w:t>
      </w:r>
      <w:r>
        <w:rPr>
          <w:rFonts w:ascii="Arial" w:eastAsia="TimesNewRomanPSMT" w:hAnsi="Arial" w:cs="Arial"/>
          <w:sz w:val="22"/>
          <w:szCs w:val="22"/>
        </w:rPr>
        <w:t>W</w:t>
      </w:r>
      <w:r w:rsidRPr="002A184E">
        <w:rPr>
          <w:rFonts w:ascii="Arial" w:eastAsia="TimesNewRomanPSMT" w:hAnsi="Arial" w:cs="Arial"/>
          <w:sz w:val="22"/>
          <w:szCs w:val="22"/>
        </w:rPr>
        <w:t xml:space="preserve">ildings </w:t>
      </w:r>
      <w:r>
        <w:rPr>
          <w:rFonts w:ascii="Arial" w:eastAsia="TimesNewRomanPSMT" w:hAnsi="Arial" w:cs="Arial"/>
          <w:sz w:val="22"/>
          <w:szCs w:val="22"/>
        </w:rPr>
        <w:t>L</w:t>
      </w:r>
      <w:r w:rsidRPr="002A184E">
        <w:rPr>
          <w:rFonts w:ascii="Arial" w:eastAsia="TimesNewRomanPSMT" w:hAnsi="Arial" w:cs="Arial"/>
          <w:sz w:val="22"/>
          <w:szCs w:val="22"/>
        </w:rPr>
        <w:t xml:space="preserve">ane, </w:t>
      </w:r>
      <w:r>
        <w:rPr>
          <w:rFonts w:ascii="Arial" w:eastAsia="TimesNewRomanPSMT" w:hAnsi="Arial" w:cs="Arial"/>
          <w:sz w:val="22"/>
          <w:szCs w:val="22"/>
        </w:rPr>
        <w:t>L</w:t>
      </w:r>
      <w:r w:rsidRPr="002A184E">
        <w:rPr>
          <w:rFonts w:ascii="Arial" w:eastAsia="TimesNewRomanPSMT" w:hAnsi="Arial" w:cs="Arial"/>
          <w:sz w:val="22"/>
          <w:szCs w:val="22"/>
        </w:rPr>
        <w:t xml:space="preserve">ytham </w:t>
      </w:r>
      <w:r>
        <w:rPr>
          <w:rFonts w:ascii="Arial" w:eastAsia="TimesNewRomanPSMT" w:hAnsi="Arial" w:cs="Arial"/>
          <w:sz w:val="22"/>
          <w:szCs w:val="22"/>
        </w:rPr>
        <w:t>S</w:t>
      </w:r>
      <w:r w:rsidRPr="002A184E">
        <w:rPr>
          <w:rFonts w:ascii="Arial" w:eastAsia="TimesNewRomanPSMT" w:hAnsi="Arial" w:cs="Arial"/>
          <w:sz w:val="22"/>
          <w:szCs w:val="22"/>
        </w:rPr>
        <w:t xml:space="preserve">t </w:t>
      </w:r>
      <w:proofErr w:type="spellStart"/>
      <w:r>
        <w:rPr>
          <w:rFonts w:ascii="Arial" w:eastAsia="TimesNewRomanPSMT" w:hAnsi="Arial" w:cs="Arial"/>
          <w:sz w:val="22"/>
          <w:szCs w:val="22"/>
        </w:rPr>
        <w:t>A</w:t>
      </w:r>
      <w:r w:rsidRPr="002A184E">
        <w:rPr>
          <w:rFonts w:ascii="Arial" w:eastAsia="TimesNewRomanPSMT" w:hAnsi="Arial" w:cs="Arial"/>
          <w:sz w:val="22"/>
          <w:szCs w:val="22"/>
        </w:rPr>
        <w:t>nnes</w:t>
      </w:r>
      <w:proofErr w:type="spellEnd"/>
      <w:r w:rsidRPr="002A184E">
        <w:rPr>
          <w:rFonts w:ascii="Arial" w:eastAsia="TimesNewRomanPSMT" w:hAnsi="Arial" w:cs="Arial"/>
          <w:sz w:val="22"/>
          <w:szCs w:val="22"/>
        </w:rPr>
        <w:t xml:space="preserve">, </w:t>
      </w:r>
      <w:r>
        <w:rPr>
          <w:rFonts w:ascii="Arial" w:eastAsia="TimesNewRomanPSMT" w:hAnsi="Arial" w:cs="Arial"/>
          <w:sz w:val="22"/>
          <w:szCs w:val="22"/>
        </w:rPr>
        <w:t>FY</w:t>
      </w:r>
      <w:r w:rsidRPr="002A184E">
        <w:rPr>
          <w:rFonts w:ascii="Arial" w:eastAsia="TimesNewRomanPSMT" w:hAnsi="Arial" w:cs="Arial"/>
          <w:sz w:val="22"/>
          <w:szCs w:val="22"/>
        </w:rPr>
        <w:t>8 3</w:t>
      </w:r>
      <w:r>
        <w:rPr>
          <w:rFonts w:ascii="Arial" w:eastAsia="TimesNewRomanPSMT" w:hAnsi="Arial" w:cs="Arial"/>
          <w:sz w:val="22"/>
          <w:szCs w:val="22"/>
        </w:rPr>
        <w:t>RJ</w:t>
      </w:r>
    </w:p>
    <w:p w14:paraId="66CC8458" w14:textId="4EFDFEDB" w:rsidR="00826369" w:rsidRDefault="00826369" w:rsidP="002A184E">
      <w:pPr>
        <w:autoSpaceDE w:val="0"/>
        <w:autoSpaceDN w:val="0"/>
        <w:adjustRightInd w:val="0"/>
        <w:jc w:val="both"/>
        <w:rPr>
          <w:rFonts w:ascii="Arial" w:eastAsia="TimesNewRomanPSMT" w:hAnsi="Arial" w:cs="Arial"/>
          <w:sz w:val="22"/>
          <w:szCs w:val="22"/>
        </w:rPr>
      </w:pPr>
    </w:p>
    <w:p w14:paraId="0126FE11" w14:textId="2BEDFD1A" w:rsidR="00826369" w:rsidRPr="00826369" w:rsidRDefault="00826369" w:rsidP="00826369">
      <w:pPr>
        <w:pStyle w:val="ListParagraph"/>
        <w:numPr>
          <w:ilvl w:val="0"/>
          <w:numId w:val="3"/>
        </w:numPr>
        <w:autoSpaceDE w:val="0"/>
        <w:autoSpaceDN w:val="0"/>
        <w:adjustRightInd w:val="0"/>
        <w:jc w:val="both"/>
        <w:rPr>
          <w:rFonts w:eastAsia="TimesNewRomanPSMT" w:cs="Arial"/>
          <w:sz w:val="22"/>
        </w:rPr>
      </w:pPr>
      <w:r>
        <w:rPr>
          <w:rFonts w:eastAsia="TimesNewRomanPSMT" w:cs="Arial"/>
          <w:sz w:val="22"/>
        </w:rPr>
        <w:t>52 dwellings @ 2.4 persons/unit = 125 people</w:t>
      </w:r>
    </w:p>
    <w:p w14:paraId="2C4C1DE4" w14:textId="77777777" w:rsid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The CCG has assessed the implications of this proposal on delivery of general practice services and is of the opinion that it will have a direct impact which will require mitigation with the payment of an appropriate financial contribution. </w:t>
      </w:r>
    </w:p>
    <w:p w14:paraId="7F238C9D" w14:textId="77777777" w:rsidR="0054163C" w:rsidRPr="0054163C" w:rsidRDefault="0054163C" w:rsidP="0054163C">
      <w:pPr>
        <w:pStyle w:val="Header"/>
        <w:jc w:val="both"/>
        <w:rPr>
          <w:rFonts w:ascii="Arial" w:eastAsia="Times New Roman" w:hAnsi="Arial" w:cs="Arial"/>
          <w:szCs w:val="24"/>
          <w:lang w:eastAsia="en-GB"/>
        </w:rPr>
      </w:pPr>
    </w:p>
    <w:p w14:paraId="11D66C9B"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In line with the Planning Act 2008 and the Community Infrastructure Levy Regulations 2010 (the CIL Regulations) (Regulation 122)/Section 106 requests for development contributions must comply with the three specific legal tests:</w:t>
      </w:r>
    </w:p>
    <w:p w14:paraId="6A113CAA" w14:textId="77777777" w:rsidR="0054163C" w:rsidRPr="0054163C" w:rsidRDefault="0054163C" w:rsidP="0054163C">
      <w:pPr>
        <w:pStyle w:val="Header"/>
        <w:jc w:val="both"/>
        <w:rPr>
          <w:rFonts w:ascii="Arial" w:eastAsia="Times New Roman" w:hAnsi="Arial" w:cs="Arial"/>
          <w:szCs w:val="24"/>
          <w:lang w:eastAsia="en-GB"/>
        </w:rPr>
      </w:pPr>
    </w:p>
    <w:p w14:paraId="3251351A" w14:textId="77777777" w:rsidR="0054163C" w:rsidRPr="0054163C" w:rsidRDefault="0054163C" w:rsidP="0054163C">
      <w:pPr>
        <w:pStyle w:val="Header"/>
        <w:numPr>
          <w:ilvl w:val="0"/>
          <w:numId w:val="2"/>
        </w:numPr>
        <w:jc w:val="both"/>
        <w:rPr>
          <w:rFonts w:ascii="Arial" w:eastAsia="Times New Roman" w:hAnsi="Arial" w:cs="Arial"/>
          <w:szCs w:val="24"/>
          <w:lang w:eastAsia="en-GB"/>
        </w:rPr>
      </w:pPr>
      <w:r w:rsidRPr="0054163C">
        <w:rPr>
          <w:rFonts w:ascii="Arial" w:eastAsia="Times New Roman" w:hAnsi="Arial" w:cs="Arial"/>
          <w:szCs w:val="24"/>
          <w:lang w:eastAsia="en-GB"/>
        </w:rPr>
        <w:t>Necessary</w:t>
      </w:r>
    </w:p>
    <w:p w14:paraId="706EFD22" w14:textId="77777777" w:rsidR="0054163C" w:rsidRPr="0054163C" w:rsidRDefault="0054163C" w:rsidP="0054163C">
      <w:pPr>
        <w:pStyle w:val="Header"/>
        <w:numPr>
          <w:ilvl w:val="0"/>
          <w:numId w:val="2"/>
        </w:numPr>
        <w:jc w:val="both"/>
        <w:rPr>
          <w:rFonts w:ascii="Arial" w:eastAsia="Times New Roman" w:hAnsi="Arial" w:cs="Arial"/>
          <w:szCs w:val="24"/>
          <w:lang w:eastAsia="en-GB"/>
        </w:rPr>
      </w:pPr>
      <w:r w:rsidRPr="0054163C">
        <w:rPr>
          <w:rFonts w:ascii="Arial" w:eastAsia="Times New Roman" w:hAnsi="Arial" w:cs="Arial"/>
          <w:szCs w:val="24"/>
          <w:lang w:eastAsia="en-GB"/>
        </w:rPr>
        <w:t xml:space="preserve">Related to the development </w:t>
      </w:r>
    </w:p>
    <w:p w14:paraId="6CF2079F" w14:textId="77777777" w:rsidR="0054163C" w:rsidRPr="0054163C" w:rsidRDefault="0054163C" w:rsidP="0054163C">
      <w:pPr>
        <w:pStyle w:val="Header"/>
        <w:numPr>
          <w:ilvl w:val="0"/>
          <w:numId w:val="2"/>
        </w:numPr>
        <w:jc w:val="both"/>
        <w:rPr>
          <w:rFonts w:ascii="Arial" w:eastAsia="Times New Roman" w:hAnsi="Arial" w:cs="Arial"/>
          <w:szCs w:val="24"/>
          <w:lang w:eastAsia="en-GB"/>
        </w:rPr>
      </w:pPr>
      <w:r w:rsidRPr="0054163C">
        <w:rPr>
          <w:rFonts w:ascii="Arial" w:eastAsia="Times New Roman" w:hAnsi="Arial" w:cs="Arial"/>
          <w:szCs w:val="24"/>
          <w:lang w:eastAsia="en-GB"/>
        </w:rPr>
        <w:t>Reasonably related in scale and kind</w:t>
      </w:r>
    </w:p>
    <w:p w14:paraId="1C1B4BC9" w14:textId="77777777" w:rsidR="0054163C" w:rsidRPr="0054163C" w:rsidRDefault="0054163C" w:rsidP="0054163C">
      <w:pPr>
        <w:pStyle w:val="Header"/>
        <w:jc w:val="both"/>
        <w:rPr>
          <w:rFonts w:ascii="Arial" w:eastAsia="Times New Roman" w:hAnsi="Arial" w:cs="Arial"/>
          <w:szCs w:val="24"/>
          <w:lang w:eastAsia="en-GB"/>
        </w:rPr>
      </w:pPr>
    </w:p>
    <w:p w14:paraId="5E371C95"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We have applied these tests in relation to this planning application and can confirm the following specific requirements. The calculations supporting this requirement are set out in Appendix 1.</w:t>
      </w:r>
    </w:p>
    <w:p w14:paraId="035073AC" w14:textId="77777777" w:rsidR="0054163C" w:rsidRPr="0054163C" w:rsidRDefault="0054163C" w:rsidP="0054163C">
      <w:pPr>
        <w:pStyle w:val="Header"/>
        <w:jc w:val="both"/>
        <w:rPr>
          <w:rFonts w:ascii="Arial" w:eastAsia="Times New Roman" w:hAnsi="Arial" w:cs="Arial"/>
          <w:szCs w:val="24"/>
          <w:lang w:eastAsia="en-GB"/>
        </w:rPr>
      </w:pPr>
    </w:p>
    <w:tbl>
      <w:tblPr>
        <w:tblStyle w:val="TableGrid"/>
        <w:tblW w:w="10031" w:type="dxa"/>
        <w:tblLook w:val="04A0" w:firstRow="1" w:lastRow="0" w:firstColumn="1" w:lastColumn="0" w:noHBand="0" w:noVBand="1"/>
      </w:tblPr>
      <w:tblGrid>
        <w:gridCol w:w="1999"/>
        <w:gridCol w:w="1999"/>
        <w:gridCol w:w="1999"/>
        <w:gridCol w:w="4034"/>
      </w:tblGrid>
      <w:tr w:rsidR="0054163C" w:rsidRPr="0054163C" w14:paraId="4EDBC0AF" w14:textId="77777777" w:rsidTr="00E85849">
        <w:tc>
          <w:tcPr>
            <w:tcW w:w="1999" w:type="dxa"/>
          </w:tcPr>
          <w:p w14:paraId="40724468" w14:textId="77777777" w:rsidR="0054163C" w:rsidRPr="0054163C" w:rsidRDefault="0054163C" w:rsidP="0054163C">
            <w:pPr>
              <w:pStyle w:val="Header"/>
              <w:jc w:val="both"/>
              <w:rPr>
                <w:rFonts w:ascii="Arial" w:eastAsia="Times New Roman" w:hAnsi="Arial" w:cs="Arial"/>
                <w:szCs w:val="24"/>
                <w:lang w:eastAsia="en-GB"/>
              </w:rPr>
            </w:pPr>
          </w:p>
        </w:tc>
        <w:tc>
          <w:tcPr>
            <w:tcW w:w="1999" w:type="dxa"/>
          </w:tcPr>
          <w:p w14:paraId="7AB72917" w14:textId="77777777" w:rsidR="0054163C" w:rsidRPr="0054163C" w:rsidRDefault="0054163C" w:rsidP="0054163C">
            <w:pPr>
              <w:pStyle w:val="Header"/>
              <w:jc w:val="both"/>
              <w:rPr>
                <w:rFonts w:ascii="Arial" w:eastAsia="Times New Roman" w:hAnsi="Arial" w:cs="Arial"/>
                <w:b/>
                <w:szCs w:val="24"/>
                <w:lang w:eastAsia="en-GB"/>
              </w:rPr>
            </w:pPr>
            <w:r w:rsidRPr="0054163C">
              <w:rPr>
                <w:rFonts w:ascii="Arial" w:eastAsia="Times New Roman" w:hAnsi="Arial" w:cs="Arial"/>
                <w:b/>
                <w:szCs w:val="24"/>
                <w:lang w:eastAsia="en-GB"/>
              </w:rPr>
              <w:t>Total Chargeable units</w:t>
            </w:r>
          </w:p>
        </w:tc>
        <w:tc>
          <w:tcPr>
            <w:tcW w:w="1999" w:type="dxa"/>
          </w:tcPr>
          <w:p w14:paraId="5FB049FF" w14:textId="77777777" w:rsidR="0054163C" w:rsidRPr="0054163C" w:rsidRDefault="0054163C" w:rsidP="0054163C">
            <w:pPr>
              <w:pStyle w:val="Header"/>
              <w:jc w:val="both"/>
              <w:rPr>
                <w:rFonts w:ascii="Arial" w:eastAsia="Times New Roman" w:hAnsi="Arial" w:cs="Arial"/>
                <w:b/>
                <w:szCs w:val="24"/>
                <w:lang w:eastAsia="en-GB"/>
              </w:rPr>
            </w:pPr>
            <w:r w:rsidRPr="0054163C">
              <w:rPr>
                <w:rFonts w:ascii="Arial" w:eastAsia="Times New Roman" w:hAnsi="Arial" w:cs="Arial"/>
                <w:b/>
                <w:szCs w:val="24"/>
                <w:lang w:eastAsia="en-GB"/>
              </w:rPr>
              <w:t xml:space="preserve">Total </w:t>
            </w:r>
          </w:p>
        </w:tc>
        <w:tc>
          <w:tcPr>
            <w:tcW w:w="4034" w:type="dxa"/>
          </w:tcPr>
          <w:p w14:paraId="0913922F" w14:textId="77777777" w:rsidR="0054163C" w:rsidRPr="0054163C" w:rsidRDefault="0054163C" w:rsidP="0054163C">
            <w:pPr>
              <w:pStyle w:val="Header"/>
              <w:jc w:val="both"/>
              <w:rPr>
                <w:rFonts w:ascii="Arial" w:eastAsia="Times New Roman" w:hAnsi="Arial" w:cs="Arial"/>
                <w:b/>
                <w:szCs w:val="24"/>
                <w:lang w:eastAsia="en-GB"/>
              </w:rPr>
            </w:pPr>
            <w:r w:rsidRPr="0054163C">
              <w:rPr>
                <w:rFonts w:ascii="Arial" w:eastAsia="Times New Roman" w:hAnsi="Arial" w:cs="Arial"/>
                <w:b/>
                <w:szCs w:val="24"/>
                <w:lang w:eastAsia="en-GB"/>
              </w:rPr>
              <w:t xml:space="preserve">Project </w:t>
            </w:r>
          </w:p>
        </w:tc>
      </w:tr>
      <w:tr w:rsidR="0054163C" w:rsidRPr="0054163C" w14:paraId="3100BA5D" w14:textId="77777777" w:rsidTr="00E85849">
        <w:tc>
          <w:tcPr>
            <w:tcW w:w="1999" w:type="dxa"/>
          </w:tcPr>
          <w:p w14:paraId="5F7BC879"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General Practice</w:t>
            </w:r>
          </w:p>
        </w:tc>
        <w:tc>
          <w:tcPr>
            <w:tcW w:w="1999" w:type="dxa"/>
          </w:tcPr>
          <w:p w14:paraId="2AC6AE10" w14:textId="6246DA33" w:rsidR="0054163C" w:rsidRPr="0054163C" w:rsidRDefault="002A184E" w:rsidP="00F93F37">
            <w:pPr>
              <w:pStyle w:val="Header"/>
              <w:jc w:val="both"/>
              <w:rPr>
                <w:rFonts w:ascii="Arial" w:eastAsia="Times New Roman" w:hAnsi="Arial" w:cs="Arial"/>
                <w:szCs w:val="24"/>
                <w:lang w:eastAsia="en-GB"/>
              </w:rPr>
            </w:pPr>
            <w:r>
              <w:rPr>
                <w:rFonts w:ascii="Arial" w:eastAsia="Times New Roman" w:hAnsi="Arial" w:cs="Arial"/>
                <w:szCs w:val="24"/>
                <w:lang w:eastAsia="en-GB"/>
              </w:rPr>
              <w:t>52</w:t>
            </w:r>
            <w:r w:rsidR="00826369">
              <w:rPr>
                <w:rFonts w:ascii="Arial" w:eastAsia="Times New Roman" w:hAnsi="Arial" w:cs="Arial"/>
                <w:szCs w:val="24"/>
                <w:lang w:eastAsia="en-GB"/>
              </w:rPr>
              <w:t xml:space="preserve"> (125 people)</w:t>
            </w:r>
          </w:p>
        </w:tc>
        <w:tc>
          <w:tcPr>
            <w:tcW w:w="1999" w:type="dxa"/>
          </w:tcPr>
          <w:p w14:paraId="23106911" w14:textId="21013D10" w:rsidR="0054163C" w:rsidRPr="0054163C" w:rsidRDefault="0054163C" w:rsidP="00F93F37">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w:t>
            </w:r>
            <w:r w:rsidR="00826369">
              <w:rPr>
                <w:rFonts w:ascii="Arial" w:eastAsia="Times New Roman" w:hAnsi="Arial" w:cs="Arial"/>
                <w:szCs w:val="24"/>
                <w:lang w:eastAsia="en-GB"/>
              </w:rPr>
              <w:t>14,355</w:t>
            </w:r>
          </w:p>
        </w:tc>
        <w:tc>
          <w:tcPr>
            <w:tcW w:w="4034" w:type="dxa"/>
          </w:tcPr>
          <w:p w14:paraId="479B6F11" w14:textId="6FC2C7D5"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Towards </w:t>
            </w:r>
            <w:proofErr w:type="gramStart"/>
            <w:r w:rsidRPr="0054163C">
              <w:rPr>
                <w:rFonts w:ascii="Arial" w:eastAsia="Times New Roman" w:hAnsi="Arial" w:cs="Arial"/>
                <w:szCs w:val="24"/>
                <w:lang w:eastAsia="en-GB"/>
              </w:rPr>
              <w:t>reconfiguration  at</w:t>
            </w:r>
            <w:proofErr w:type="gramEnd"/>
            <w:r w:rsidRPr="0054163C">
              <w:rPr>
                <w:rFonts w:ascii="Arial" w:eastAsia="Times New Roman" w:hAnsi="Arial" w:cs="Arial"/>
                <w:szCs w:val="24"/>
                <w:lang w:eastAsia="en-GB"/>
              </w:rPr>
              <w:t xml:space="preserve"> </w:t>
            </w:r>
            <w:proofErr w:type="spellStart"/>
            <w:r w:rsidRPr="0054163C">
              <w:rPr>
                <w:rFonts w:ascii="Arial" w:eastAsia="Times New Roman" w:hAnsi="Arial" w:cs="Arial"/>
                <w:szCs w:val="24"/>
                <w:lang w:eastAsia="en-GB"/>
              </w:rPr>
              <w:t>Ansdell</w:t>
            </w:r>
            <w:proofErr w:type="spellEnd"/>
            <w:r w:rsidRPr="0054163C">
              <w:rPr>
                <w:rFonts w:ascii="Arial" w:eastAsia="Times New Roman" w:hAnsi="Arial" w:cs="Arial"/>
                <w:szCs w:val="24"/>
                <w:lang w:eastAsia="en-GB"/>
              </w:rPr>
              <w:t xml:space="preserve"> Medical Centre </w:t>
            </w:r>
          </w:p>
        </w:tc>
      </w:tr>
    </w:tbl>
    <w:p w14:paraId="03FA5DCD" w14:textId="77777777" w:rsidR="0054163C" w:rsidRPr="0054163C" w:rsidRDefault="0054163C" w:rsidP="0054163C">
      <w:pPr>
        <w:pStyle w:val="Header"/>
        <w:jc w:val="both"/>
        <w:rPr>
          <w:rFonts w:ascii="Arial" w:eastAsia="Times New Roman" w:hAnsi="Arial" w:cs="Arial"/>
          <w:szCs w:val="24"/>
          <w:lang w:eastAsia="en-GB"/>
        </w:rPr>
      </w:pPr>
    </w:p>
    <w:p w14:paraId="36ED370C" w14:textId="77777777" w:rsid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The obligation should also include the provision for the re-imbursement of any legal costs in incurred in completing the agreement.</w:t>
      </w:r>
    </w:p>
    <w:p w14:paraId="24344335" w14:textId="77777777" w:rsidR="00826369" w:rsidRDefault="0054163C" w:rsidP="00826369">
      <w:pPr>
        <w:rPr>
          <w:rFonts w:ascii="Arial" w:hAnsi="Arial" w:cs="Arial"/>
          <w:i/>
          <w:iCs/>
          <w:sz w:val="22"/>
          <w:szCs w:val="22"/>
        </w:rPr>
      </w:pPr>
      <w:r>
        <w:rPr>
          <w:rFonts w:ascii="Arial" w:hAnsi="Arial" w:cs="Arial"/>
          <w:b/>
        </w:rPr>
        <w:br w:type="column"/>
      </w:r>
      <w:r w:rsidR="00826369">
        <w:rPr>
          <w:rFonts w:ascii="Arial" w:hAnsi="Arial" w:cs="Arial"/>
          <w:sz w:val="22"/>
        </w:rPr>
        <w:lastRenderedPageBreak/>
        <w:t xml:space="preserve">We would highlight </w:t>
      </w:r>
      <w:proofErr w:type="gramStart"/>
      <w:r w:rsidR="00826369">
        <w:rPr>
          <w:rFonts w:ascii="Arial" w:hAnsi="Arial" w:cs="Arial"/>
          <w:b/>
          <w:bCs/>
          <w:i/>
          <w:iCs/>
          <w:sz w:val="22"/>
          <w:szCs w:val="22"/>
        </w:rPr>
        <w:t xml:space="preserve">“ </w:t>
      </w:r>
      <w:r w:rsidR="00826369">
        <w:rPr>
          <w:rFonts w:ascii="Arial" w:hAnsi="Arial" w:cs="Arial"/>
          <w:b/>
          <w:bCs/>
          <w:i/>
          <w:iCs/>
          <w:sz w:val="22"/>
          <w:szCs w:val="22"/>
          <w:lang w:val="en-US"/>
        </w:rPr>
        <w:t>that</w:t>
      </w:r>
      <w:proofErr w:type="gramEnd"/>
      <w:r w:rsidR="00826369">
        <w:rPr>
          <w:rFonts w:ascii="Arial" w:hAnsi="Arial" w:cs="Arial"/>
          <w:b/>
          <w:bCs/>
          <w:i/>
          <w:iCs/>
          <w:sz w:val="22"/>
          <w:szCs w:val="22"/>
          <w:lang w:val="en-US"/>
        </w:rPr>
        <w:t xml:space="preserve"> failure to secure the contribution we have requested effectively means that we are objecting to the application”.</w:t>
      </w:r>
    </w:p>
    <w:p w14:paraId="04030254" w14:textId="77777777" w:rsidR="00826369" w:rsidRPr="00282AAF" w:rsidRDefault="00826369" w:rsidP="00826369">
      <w:pPr>
        <w:jc w:val="both"/>
        <w:rPr>
          <w:rFonts w:ascii="Arial" w:hAnsi="Arial" w:cs="Arial"/>
          <w:sz w:val="22"/>
        </w:rPr>
      </w:pPr>
    </w:p>
    <w:p w14:paraId="662B1B9A" w14:textId="1CDDE504" w:rsidR="0054163C" w:rsidRPr="0054163C" w:rsidRDefault="0054163C" w:rsidP="0054163C">
      <w:pPr>
        <w:pStyle w:val="Header"/>
        <w:jc w:val="both"/>
        <w:rPr>
          <w:rFonts w:ascii="Arial" w:eastAsia="Times New Roman" w:hAnsi="Arial" w:cs="Arial"/>
          <w:b/>
          <w:szCs w:val="24"/>
          <w:lang w:eastAsia="en-GB"/>
        </w:rPr>
      </w:pPr>
      <w:r w:rsidRPr="0054163C">
        <w:rPr>
          <w:rFonts w:ascii="Arial" w:eastAsia="Times New Roman" w:hAnsi="Arial" w:cs="Arial"/>
          <w:b/>
          <w:szCs w:val="24"/>
          <w:lang w:eastAsia="en-GB"/>
        </w:rPr>
        <w:t xml:space="preserve">Justification for infrastructure development contributions request </w:t>
      </w:r>
    </w:p>
    <w:p w14:paraId="1ECEE207" w14:textId="77777777" w:rsidR="0054163C" w:rsidRDefault="0054163C" w:rsidP="0054163C">
      <w:pPr>
        <w:pStyle w:val="Header"/>
        <w:jc w:val="both"/>
        <w:rPr>
          <w:rFonts w:ascii="Arial" w:eastAsia="Times New Roman" w:hAnsi="Arial" w:cs="Arial"/>
          <w:szCs w:val="24"/>
          <w:lang w:eastAsia="en-GB"/>
        </w:rPr>
      </w:pPr>
    </w:p>
    <w:p w14:paraId="01C1DC6C" w14:textId="22FCB26F"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This proposal will generate approximately </w:t>
      </w:r>
      <w:r w:rsidR="00826369">
        <w:rPr>
          <w:rFonts w:ascii="Arial" w:eastAsia="Times New Roman" w:hAnsi="Arial" w:cs="Arial"/>
          <w:szCs w:val="24"/>
          <w:lang w:eastAsia="en-GB"/>
        </w:rPr>
        <w:t>125</w:t>
      </w:r>
      <w:r w:rsidRPr="0054163C">
        <w:rPr>
          <w:rFonts w:ascii="Arial" w:eastAsia="Times New Roman" w:hAnsi="Arial" w:cs="Arial"/>
          <w:szCs w:val="24"/>
          <w:lang w:eastAsia="en-GB"/>
        </w:rPr>
        <w:t xml:space="preserve"> new patient registrations based on dwelling mix provided).  </w:t>
      </w:r>
    </w:p>
    <w:p w14:paraId="0531BF5B" w14:textId="77777777" w:rsidR="0054163C" w:rsidRDefault="0054163C" w:rsidP="0054163C">
      <w:pPr>
        <w:pStyle w:val="Header"/>
        <w:jc w:val="both"/>
        <w:rPr>
          <w:rFonts w:ascii="Arial" w:eastAsia="Times New Roman" w:hAnsi="Arial" w:cs="Arial"/>
          <w:szCs w:val="24"/>
          <w:lang w:eastAsia="en-GB"/>
        </w:rPr>
      </w:pPr>
    </w:p>
    <w:p w14:paraId="6086A84D" w14:textId="09E09060" w:rsid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The proposed development falls within the catchment area of </w:t>
      </w:r>
      <w:proofErr w:type="spellStart"/>
      <w:r w:rsidRPr="0054163C">
        <w:rPr>
          <w:rFonts w:ascii="Arial" w:eastAsia="Times New Roman" w:hAnsi="Arial" w:cs="Arial"/>
          <w:szCs w:val="24"/>
          <w:lang w:eastAsia="en-GB"/>
        </w:rPr>
        <w:t>Ansdell</w:t>
      </w:r>
      <w:proofErr w:type="spellEnd"/>
      <w:r w:rsidRPr="0054163C">
        <w:rPr>
          <w:rFonts w:ascii="Arial" w:eastAsia="Times New Roman" w:hAnsi="Arial" w:cs="Arial"/>
          <w:szCs w:val="24"/>
          <w:lang w:eastAsia="en-GB"/>
        </w:rPr>
        <w:t xml:space="preserve"> Medical Centre</w:t>
      </w:r>
      <w:r w:rsidR="004E7911">
        <w:rPr>
          <w:rFonts w:ascii="Arial" w:eastAsia="Times New Roman" w:hAnsi="Arial" w:cs="Arial"/>
          <w:szCs w:val="24"/>
          <w:lang w:eastAsia="en-GB"/>
        </w:rPr>
        <w:t xml:space="preserve"> which is located a mile away.</w:t>
      </w:r>
      <w:r w:rsidRPr="0054163C">
        <w:rPr>
          <w:rFonts w:ascii="Arial" w:eastAsia="Times New Roman" w:hAnsi="Arial" w:cs="Arial"/>
          <w:szCs w:val="24"/>
          <w:lang w:eastAsia="en-GB"/>
        </w:rPr>
        <w:t xml:space="preserve"> This need, with other new developments in the area, can only be met through the refurbishment and reconfiguration of the existing premises </w:t>
      </w:r>
      <w:proofErr w:type="gramStart"/>
      <w:r w:rsidRPr="0054163C">
        <w:rPr>
          <w:rFonts w:ascii="Arial" w:eastAsia="Times New Roman" w:hAnsi="Arial" w:cs="Arial"/>
          <w:szCs w:val="24"/>
          <w:lang w:eastAsia="en-GB"/>
        </w:rPr>
        <w:t>in order to</w:t>
      </w:r>
      <w:proofErr w:type="gramEnd"/>
      <w:r w:rsidRPr="0054163C">
        <w:rPr>
          <w:rFonts w:ascii="Arial" w:eastAsia="Times New Roman" w:hAnsi="Arial" w:cs="Arial"/>
          <w:szCs w:val="24"/>
          <w:lang w:eastAsia="en-GB"/>
        </w:rPr>
        <w:t xml:space="preserve"> ensure sustainable general practice.</w:t>
      </w:r>
    </w:p>
    <w:p w14:paraId="492C38F1" w14:textId="77777777" w:rsidR="004E7911" w:rsidRPr="00282AAF" w:rsidRDefault="004E7911" w:rsidP="004E7911">
      <w:pPr>
        <w:jc w:val="both"/>
        <w:rPr>
          <w:rFonts w:ascii="Arial" w:hAnsi="Arial" w:cs="Arial"/>
          <w:sz w:val="22"/>
        </w:rPr>
      </w:pPr>
    </w:p>
    <w:p w14:paraId="40915E4D" w14:textId="12036376" w:rsidR="004E7911" w:rsidRDefault="004E7911" w:rsidP="004E7911">
      <w:pPr>
        <w:jc w:val="both"/>
        <w:rPr>
          <w:rFonts w:ascii="Arial" w:hAnsi="Arial" w:cs="Arial"/>
          <w:i/>
          <w:sz w:val="22"/>
        </w:rPr>
      </w:pPr>
      <w:r>
        <w:rPr>
          <w:rFonts w:ascii="Arial" w:hAnsi="Arial" w:cs="Arial"/>
          <w:i/>
          <w:sz w:val="22"/>
        </w:rPr>
        <w:t xml:space="preserve">(The </w:t>
      </w:r>
      <w:proofErr w:type="spellStart"/>
      <w:r>
        <w:rPr>
          <w:rFonts w:ascii="Arial" w:hAnsi="Arial" w:cs="Arial"/>
          <w:i/>
          <w:sz w:val="22"/>
        </w:rPr>
        <w:t>Ansdell</w:t>
      </w:r>
      <w:proofErr w:type="spellEnd"/>
      <w:r>
        <w:rPr>
          <w:rFonts w:ascii="Arial" w:hAnsi="Arial" w:cs="Arial"/>
          <w:i/>
          <w:sz w:val="22"/>
        </w:rPr>
        <w:t xml:space="preserve"> Medical Centre is located 1.0 mile from the development and would therefore be the practice where most of the new residents register for general medical services.)</w:t>
      </w:r>
    </w:p>
    <w:p w14:paraId="070F5C17" w14:textId="734CA513" w:rsidR="004E7911" w:rsidRDefault="004E7911" w:rsidP="0054163C">
      <w:pPr>
        <w:pStyle w:val="Header"/>
        <w:jc w:val="both"/>
        <w:rPr>
          <w:rFonts w:ascii="Arial" w:eastAsia="Times New Roman" w:hAnsi="Arial" w:cs="Arial"/>
          <w:szCs w:val="24"/>
          <w:lang w:eastAsia="en-GB"/>
        </w:rPr>
      </w:pPr>
    </w:p>
    <w:p w14:paraId="20FC57E0"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From a CCG perspective the growth generated from this proposed development would not trigger consideration of the commissioning of a new general practice; it would however trigger a requirement to support the practice to understand how the growth in the population would be accommodated and therefore premises options. It is not a resilient, sustainable or attractive service model to commission new practices serving a small population, specifically from a workforce perspective. The same principle applies to branch surgeries within a close proximity to the main surgery site.</w:t>
      </w:r>
    </w:p>
    <w:p w14:paraId="0BC3EFE4" w14:textId="77777777" w:rsidR="0054163C" w:rsidRDefault="0054163C" w:rsidP="0054163C">
      <w:pPr>
        <w:pStyle w:val="Header"/>
        <w:jc w:val="both"/>
        <w:rPr>
          <w:rFonts w:ascii="Arial" w:eastAsia="Times New Roman" w:hAnsi="Arial" w:cs="Arial"/>
          <w:szCs w:val="24"/>
          <w:lang w:eastAsia="en-GB"/>
        </w:rPr>
      </w:pPr>
    </w:p>
    <w:p w14:paraId="76D6A430"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It is however important to note that general practice capacity would need to be created in advance of the growth in population so that both the infrastructure and workforce are in place. We would therefore be seeking the trigger of any healthcare contribution to be available linked to commencement of development. </w:t>
      </w:r>
    </w:p>
    <w:p w14:paraId="2365C5A4" w14:textId="77777777" w:rsidR="0054163C" w:rsidRDefault="0054163C" w:rsidP="0054163C">
      <w:pPr>
        <w:pStyle w:val="Header"/>
        <w:jc w:val="both"/>
        <w:rPr>
          <w:rFonts w:ascii="Arial" w:eastAsia="Times New Roman" w:hAnsi="Arial" w:cs="Arial"/>
          <w:szCs w:val="24"/>
          <w:lang w:eastAsia="en-GB"/>
        </w:rPr>
      </w:pPr>
    </w:p>
    <w:p w14:paraId="125BF654"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Please note that general practice premises plans will be kept under review and may be subject to change as the CCG must ensure appropriate general medical service capacity is available as part of our commissioning responsibilities.</w:t>
      </w:r>
    </w:p>
    <w:p w14:paraId="6D05AE82" w14:textId="77777777" w:rsidR="0054163C" w:rsidRDefault="0054163C" w:rsidP="0054163C">
      <w:pPr>
        <w:pStyle w:val="Header"/>
        <w:jc w:val="both"/>
        <w:rPr>
          <w:rFonts w:ascii="Arial" w:eastAsia="Times New Roman" w:hAnsi="Arial" w:cs="Arial"/>
          <w:szCs w:val="24"/>
          <w:lang w:eastAsia="en-GB"/>
        </w:rPr>
      </w:pPr>
    </w:p>
    <w:p w14:paraId="0E04A1B3"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The CCG is of the view that the above complies with the CIL regulations/Section 106 and is necessary in order to mitigate the impacts of the proposal on the provision of general practice services. In accordance with CIL regulation 123 the CCG confirms that there are no more than four other obligations towards this project.</w:t>
      </w:r>
    </w:p>
    <w:p w14:paraId="62BBF5DD" w14:textId="77777777" w:rsidR="0054163C" w:rsidRDefault="0054163C" w:rsidP="0054163C">
      <w:pPr>
        <w:pStyle w:val="Header"/>
        <w:jc w:val="both"/>
        <w:rPr>
          <w:rFonts w:ascii="Arial" w:eastAsia="Times New Roman" w:hAnsi="Arial" w:cs="Arial"/>
          <w:szCs w:val="24"/>
          <w:lang w:eastAsia="en-GB"/>
        </w:rPr>
      </w:pPr>
    </w:p>
    <w:p w14:paraId="5FD41512"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I would be grateful if you could advise when this application will be considered and if you require any additional information to assist the decision making process in advance of the committee report being prepared.</w:t>
      </w:r>
    </w:p>
    <w:p w14:paraId="6639420E" w14:textId="77777777" w:rsidR="0054163C" w:rsidRPr="0054163C" w:rsidRDefault="0054163C" w:rsidP="0054163C">
      <w:pPr>
        <w:pStyle w:val="Header"/>
        <w:jc w:val="both"/>
        <w:rPr>
          <w:rFonts w:ascii="Arial" w:eastAsia="Times New Roman" w:hAnsi="Arial" w:cs="Arial"/>
          <w:szCs w:val="24"/>
          <w:lang w:eastAsia="en-GB"/>
        </w:rPr>
      </w:pPr>
    </w:p>
    <w:p w14:paraId="3DA81037"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Yours sincerely </w:t>
      </w:r>
    </w:p>
    <w:p w14:paraId="7382F4DB"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w:t>
      </w:r>
    </w:p>
    <w:p w14:paraId="01F85E76"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w:t>
      </w:r>
    </w:p>
    <w:p w14:paraId="304C93BC" w14:textId="77777777" w:rsidR="0054163C" w:rsidRPr="0054163C" w:rsidRDefault="002752BD" w:rsidP="0054163C">
      <w:pPr>
        <w:pStyle w:val="Header"/>
        <w:jc w:val="both"/>
        <w:rPr>
          <w:rFonts w:ascii="Arial" w:eastAsia="Times New Roman" w:hAnsi="Arial" w:cs="Arial"/>
          <w:szCs w:val="24"/>
          <w:lang w:eastAsia="en-GB"/>
        </w:rPr>
      </w:pPr>
      <w:proofErr w:type="spellStart"/>
      <w:r>
        <w:rPr>
          <w:rFonts w:ascii="Arial" w:eastAsia="Times New Roman" w:hAnsi="Arial" w:cs="Arial"/>
          <w:szCs w:val="24"/>
          <w:lang w:eastAsia="en-GB"/>
        </w:rPr>
        <w:t>Mr.P.Hargreaves</w:t>
      </w:r>
      <w:proofErr w:type="spellEnd"/>
    </w:p>
    <w:p w14:paraId="04CC55FD" w14:textId="77777777" w:rsidR="0054163C" w:rsidRPr="0054163C" w:rsidRDefault="0054163C" w:rsidP="0054163C">
      <w:pPr>
        <w:pStyle w:val="Header"/>
        <w:jc w:val="both"/>
        <w:rPr>
          <w:rFonts w:ascii="Arial" w:eastAsia="Times New Roman" w:hAnsi="Arial" w:cs="Arial"/>
          <w:szCs w:val="24"/>
          <w:lang w:eastAsia="en-GB"/>
        </w:rPr>
      </w:pPr>
    </w:p>
    <w:p w14:paraId="2E0B885A" w14:textId="77777777" w:rsidR="0054163C" w:rsidRPr="0054163C" w:rsidRDefault="0054163C" w:rsidP="0054163C">
      <w:pPr>
        <w:pStyle w:val="Header"/>
        <w:jc w:val="both"/>
        <w:rPr>
          <w:rFonts w:ascii="Arial" w:eastAsia="Times New Roman" w:hAnsi="Arial" w:cs="Arial"/>
          <w:b/>
          <w:szCs w:val="24"/>
          <w:lang w:eastAsia="en-GB"/>
        </w:rPr>
      </w:pPr>
      <w:r w:rsidRPr="0054163C">
        <w:rPr>
          <w:rFonts w:ascii="Arial" w:eastAsia="Times New Roman" w:hAnsi="Arial" w:cs="Arial"/>
          <w:szCs w:val="24"/>
          <w:lang w:eastAsia="en-GB"/>
        </w:rPr>
        <w:br w:type="page"/>
      </w:r>
      <w:r w:rsidRPr="0054163C">
        <w:rPr>
          <w:rFonts w:ascii="Arial" w:eastAsia="Times New Roman" w:hAnsi="Arial" w:cs="Arial"/>
          <w:b/>
          <w:szCs w:val="24"/>
          <w:lang w:eastAsia="en-GB"/>
        </w:rPr>
        <w:lastRenderedPageBreak/>
        <w:t>Appendix 1</w:t>
      </w:r>
    </w:p>
    <w:p w14:paraId="0B7ABC71" w14:textId="77777777" w:rsidR="0054163C" w:rsidRPr="0054163C" w:rsidRDefault="0054163C" w:rsidP="0054163C">
      <w:pPr>
        <w:pStyle w:val="Header"/>
        <w:jc w:val="both"/>
        <w:rPr>
          <w:rFonts w:ascii="Arial" w:eastAsia="Times New Roman" w:hAnsi="Arial" w:cs="Arial"/>
          <w:szCs w:val="24"/>
          <w:lang w:eastAsia="en-GB"/>
        </w:rPr>
      </w:pPr>
    </w:p>
    <w:p w14:paraId="7E9BE30F"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The CCG uses a formula for calculating s106 contributions which has been used for some time and is calculated as fair and reasonable. This calculation is based the number of additional patients multiplied by the standard area m 2 for the list size multiplied by the project rate dependent upon the type using the RICS Building Cost Information Service.</w:t>
      </w:r>
    </w:p>
    <w:p w14:paraId="3D62B681" w14:textId="77777777" w:rsidR="0054163C" w:rsidRDefault="0054163C" w:rsidP="0054163C">
      <w:pPr>
        <w:pStyle w:val="Header"/>
        <w:jc w:val="both"/>
        <w:rPr>
          <w:rFonts w:ascii="Arial" w:eastAsia="Times New Roman" w:hAnsi="Arial" w:cs="Arial"/>
          <w:szCs w:val="24"/>
          <w:lang w:eastAsia="en-GB"/>
        </w:rPr>
      </w:pPr>
    </w:p>
    <w:p w14:paraId="0F0036AD"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Where the application identifies unit sizes the following predicted occupancy rates will be used. </w:t>
      </w:r>
    </w:p>
    <w:p w14:paraId="163E4D16" w14:textId="77777777" w:rsidR="0054163C" w:rsidRDefault="0054163C" w:rsidP="0054163C">
      <w:pPr>
        <w:pStyle w:val="Header"/>
        <w:jc w:val="both"/>
        <w:rPr>
          <w:rFonts w:ascii="Arial" w:eastAsia="Times New Roman" w:hAnsi="Arial" w:cs="Arial"/>
          <w:szCs w:val="24"/>
          <w:lang w:eastAsia="en-GB"/>
        </w:rPr>
      </w:pPr>
    </w:p>
    <w:p w14:paraId="6F200E58"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 1 bed unit @ 1.4 persons </w:t>
      </w:r>
    </w:p>
    <w:p w14:paraId="3BD33F81"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 2 bed unit @ 2 persons </w:t>
      </w:r>
    </w:p>
    <w:p w14:paraId="32380351"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 3 bed unit @ 2.8 persons </w:t>
      </w:r>
    </w:p>
    <w:p w14:paraId="29E410E5"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 4 bed unit @ 3.5 persons </w:t>
      </w:r>
    </w:p>
    <w:p w14:paraId="2D68EC32"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 5 bed unit @ 4.8 persons </w:t>
      </w:r>
    </w:p>
    <w:p w14:paraId="2D3A0D30" w14:textId="77777777" w:rsidR="0054163C" w:rsidRPr="0054163C" w:rsidRDefault="0054163C" w:rsidP="0054163C">
      <w:pPr>
        <w:pStyle w:val="Header"/>
        <w:jc w:val="both"/>
        <w:rPr>
          <w:rFonts w:ascii="Arial" w:eastAsia="Times New Roman" w:hAnsi="Arial" w:cs="Arial"/>
          <w:szCs w:val="24"/>
          <w:lang w:eastAsia="en-GB"/>
        </w:rPr>
      </w:pPr>
    </w:p>
    <w:p w14:paraId="2718A7CE"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Where the unit sizes are not identified then an assumed occupancy of 2.34 persons will be used.</w:t>
      </w:r>
    </w:p>
    <w:p w14:paraId="77EA5A9B" w14:textId="77777777" w:rsidR="0054163C" w:rsidRPr="0054163C" w:rsidRDefault="0054163C" w:rsidP="0054163C">
      <w:pPr>
        <w:pStyle w:val="Header"/>
        <w:jc w:val="both"/>
        <w:rPr>
          <w:rFonts w:ascii="Arial" w:eastAsia="Times New Roman" w:hAnsi="Arial" w:cs="Arial"/>
          <w:szCs w:val="24"/>
          <w:lang w:eastAsia="en-GB"/>
        </w:rPr>
      </w:pPr>
    </w:p>
    <w:p w14:paraId="74A2E52A"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OR </w:t>
      </w:r>
    </w:p>
    <w:p w14:paraId="283E7C03" w14:textId="77777777" w:rsidR="0054163C" w:rsidRDefault="0054163C" w:rsidP="0054163C">
      <w:pPr>
        <w:pStyle w:val="Header"/>
        <w:jc w:val="both"/>
        <w:rPr>
          <w:rFonts w:ascii="Arial" w:eastAsia="Times New Roman" w:hAnsi="Arial" w:cs="Arial"/>
          <w:szCs w:val="24"/>
          <w:lang w:eastAsia="en-GB"/>
        </w:rPr>
      </w:pPr>
    </w:p>
    <w:p w14:paraId="00284D65"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The application does not detail the unit sizes and should be updated (based on the above) once the final market unit sizes are confirmed at a later date. The calculation is therefore as follows:</w:t>
      </w:r>
    </w:p>
    <w:p w14:paraId="252DC80D" w14:textId="77777777" w:rsidR="0054163C" w:rsidRPr="0054163C" w:rsidRDefault="0054163C" w:rsidP="0054163C">
      <w:pPr>
        <w:pStyle w:val="Header"/>
        <w:jc w:val="both"/>
        <w:rPr>
          <w:rFonts w:ascii="Arial" w:eastAsia="Times New Roman" w:hAnsi="Arial" w:cs="Arial"/>
          <w:szCs w:val="24"/>
          <w:lang w:eastAsia="en-GB"/>
        </w:rPr>
      </w:pPr>
    </w:p>
    <w:p w14:paraId="68606294"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X No of units X 2.34 assumed occupancy = Y No of people</w:t>
      </w:r>
    </w:p>
    <w:p w14:paraId="54B2B768" w14:textId="77777777" w:rsidR="0054163C" w:rsidRPr="0054163C" w:rsidRDefault="0054163C" w:rsidP="0054163C">
      <w:pPr>
        <w:pStyle w:val="Header"/>
        <w:jc w:val="both"/>
        <w:rPr>
          <w:rFonts w:ascii="Arial" w:eastAsia="Times New Roman" w:hAnsi="Arial" w:cs="Arial"/>
          <w:szCs w:val="24"/>
          <w:lang w:eastAsia="en-GB"/>
        </w:rPr>
      </w:pPr>
      <w:r w:rsidRPr="0054163C">
        <w:rPr>
          <w:rFonts w:ascii="Arial" w:eastAsia="Times New Roman" w:hAnsi="Arial" w:cs="Arial"/>
          <w:szCs w:val="24"/>
          <w:lang w:eastAsia="en-GB"/>
        </w:rPr>
        <w:t xml:space="preserve">Y No of people </w:t>
      </w:r>
      <w:proofErr w:type="gramStart"/>
      <w:r w:rsidRPr="0054163C">
        <w:rPr>
          <w:rFonts w:ascii="Arial" w:eastAsia="Times New Roman" w:hAnsi="Arial" w:cs="Arial"/>
          <w:szCs w:val="24"/>
          <w:lang w:eastAsia="en-GB"/>
        </w:rPr>
        <w:t>X  standard</w:t>
      </w:r>
      <w:proofErr w:type="gramEnd"/>
      <w:r w:rsidRPr="0054163C">
        <w:rPr>
          <w:rFonts w:ascii="Arial" w:eastAsia="Times New Roman" w:hAnsi="Arial" w:cs="Arial"/>
          <w:szCs w:val="24"/>
          <w:lang w:eastAsia="en-GB"/>
        </w:rPr>
        <w:t xml:space="preserve"> m 2 x £RICS rate = £X contribution</w:t>
      </w:r>
    </w:p>
    <w:p w14:paraId="67330358" w14:textId="77777777" w:rsidR="004229F8" w:rsidRPr="0054163C" w:rsidRDefault="004229F8" w:rsidP="0054163C">
      <w:pPr>
        <w:pStyle w:val="Header"/>
        <w:rPr>
          <w:rFonts w:ascii="Arial" w:eastAsia="Times New Roman" w:hAnsi="Arial" w:cs="Arial"/>
          <w:szCs w:val="24"/>
          <w:lang w:eastAsia="en-GB"/>
        </w:rPr>
      </w:pPr>
    </w:p>
    <w:p w14:paraId="2B143CC2" w14:textId="11281DD3" w:rsidR="004229F8" w:rsidRPr="0054163C" w:rsidRDefault="00826369" w:rsidP="0054163C">
      <w:pPr>
        <w:pStyle w:val="Header"/>
        <w:rPr>
          <w:rFonts w:ascii="Arial" w:eastAsia="Times New Roman" w:hAnsi="Arial" w:cs="Arial"/>
          <w:szCs w:val="24"/>
          <w:lang w:eastAsia="en-GB"/>
        </w:rPr>
      </w:pPr>
      <w:r>
        <w:rPr>
          <w:rFonts w:ascii="Arial" w:eastAsia="Times New Roman" w:hAnsi="Arial" w:cs="Arial"/>
          <w:szCs w:val="24"/>
          <w:lang w:eastAsia="en-GB"/>
        </w:rPr>
        <w:t>125</w:t>
      </w:r>
      <w:r w:rsidR="00F93F37">
        <w:rPr>
          <w:rFonts w:ascii="Arial" w:eastAsia="Times New Roman" w:hAnsi="Arial" w:cs="Arial"/>
          <w:szCs w:val="24"/>
          <w:lang w:eastAsia="en-GB"/>
        </w:rPr>
        <w:t xml:space="preserve"> people x 0.11 x £1,044 = £</w:t>
      </w:r>
      <w:r>
        <w:rPr>
          <w:rFonts w:ascii="Arial" w:eastAsia="Times New Roman" w:hAnsi="Arial" w:cs="Arial"/>
          <w:szCs w:val="24"/>
          <w:lang w:eastAsia="en-GB"/>
        </w:rPr>
        <w:t>14,355</w:t>
      </w:r>
    </w:p>
    <w:p w14:paraId="426BA6A2" w14:textId="77777777" w:rsidR="004229F8" w:rsidRPr="0054163C" w:rsidRDefault="004229F8" w:rsidP="0054163C">
      <w:pPr>
        <w:pStyle w:val="Header"/>
        <w:rPr>
          <w:rFonts w:ascii="Arial" w:eastAsia="Times New Roman" w:hAnsi="Arial" w:cs="Arial"/>
          <w:szCs w:val="24"/>
          <w:lang w:eastAsia="en-GB"/>
        </w:rPr>
      </w:pPr>
    </w:p>
    <w:p w14:paraId="36E46B9F" w14:textId="77777777" w:rsidR="004229F8" w:rsidRPr="0054163C" w:rsidRDefault="004229F8" w:rsidP="0054163C">
      <w:pPr>
        <w:pStyle w:val="Header"/>
        <w:rPr>
          <w:rFonts w:ascii="Arial" w:eastAsia="Times New Roman" w:hAnsi="Arial" w:cs="Arial"/>
          <w:szCs w:val="24"/>
          <w:lang w:eastAsia="en-GB"/>
        </w:rPr>
      </w:pPr>
    </w:p>
    <w:p w14:paraId="74017346" w14:textId="77777777" w:rsidR="004229F8" w:rsidRPr="0054163C" w:rsidRDefault="004229F8" w:rsidP="0054163C">
      <w:pPr>
        <w:pStyle w:val="Header"/>
        <w:rPr>
          <w:rFonts w:ascii="Arial" w:eastAsia="Times New Roman" w:hAnsi="Arial" w:cs="Arial"/>
          <w:szCs w:val="24"/>
          <w:lang w:eastAsia="en-GB"/>
        </w:rPr>
      </w:pPr>
    </w:p>
    <w:p w14:paraId="76B02D54" w14:textId="77777777" w:rsidR="004229F8" w:rsidRPr="0054163C" w:rsidRDefault="004229F8" w:rsidP="0054163C">
      <w:pPr>
        <w:pStyle w:val="Header"/>
        <w:rPr>
          <w:rFonts w:ascii="Arial" w:eastAsia="Times New Roman" w:hAnsi="Arial" w:cs="Arial"/>
          <w:szCs w:val="24"/>
          <w:lang w:eastAsia="en-GB"/>
        </w:rPr>
      </w:pPr>
    </w:p>
    <w:p w14:paraId="5FC7D4BE" w14:textId="77777777" w:rsidR="004229F8" w:rsidRPr="0054163C" w:rsidRDefault="004229F8" w:rsidP="0054163C">
      <w:pPr>
        <w:pStyle w:val="Header"/>
        <w:rPr>
          <w:rFonts w:ascii="Arial" w:eastAsia="Times New Roman" w:hAnsi="Arial" w:cs="Arial"/>
          <w:szCs w:val="24"/>
          <w:lang w:eastAsia="en-GB"/>
        </w:rPr>
      </w:pPr>
    </w:p>
    <w:p w14:paraId="10396627" w14:textId="77777777" w:rsidR="004229F8" w:rsidRPr="0054163C" w:rsidRDefault="004229F8" w:rsidP="0054163C">
      <w:pPr>
        <w:pStyle w:val="Header"/>
        <w:rPr>
          <w:rFonts w:ascii="Arial" w:eastAsia="Times New Roman" w:hAnsi="Arial" w:cs="Arial"/>
          <w:szCs w:val="24"/>
          <w:lang w:eastAsia="en-GB"/>
        </w:rPr>
      </w:pPr>
    </w:p>
    <w:p w14:paraId="05109394" w14:textId="77777777" w:rsidR="004229F8" w:rsidRPr="0054163C" w:rsidRDefault="004229F8" w:rsidP="0054163C">
      <w:pPr>
        <w:pStyle w:val="Header"/>
        <w:rPr>
          <w:rFonts w:ascii="Arial" w:eastAsia="Times New Roman" w:hAnsi="Arial" w:cs="Arial"/>
          <w:szCs w:val="24"/>
          <w:lang w:eastAsia="en-GB"/>
        </w:rPr>
      </w:pPr>
    </w:p>
    <w:p w14:paraId="67FA4B16" w14:textId="77777777" w:rsidR="006C52C4" w:rsidRPr="0054163C" w:rsidRDefault="006C52C4" w:rsidP="0054163C">
      <w:pPr>
        <w:pStyle w:val="Header"/>
        <w:rPr>
          <w:rFonts w:ascii="Arial" w:eastAsia="Times New Roman" w:hAnsi="Arial" w:cs="Arial"/>
          <w:szCs w:val="24"/>
          <w:lang w:eastAsia="en-GB"/>
        </w:rPr>
      </w:pPr>
    </w:p>
    <w:p w14:paraId="081F7F49" w14:textId="77777777" w:rsidR="004229F8" w:rsidRPr="0054163C" w:rsidRDefault="004229F8" w:rsidP="0054163C">
      <w:pPr>
        <w:pStyle w:val="Header"/>
        <w:rPr>
          <w:rFonts w:ascii="Arial" w:eastAsia="Times New Roman" w:hAnsi="Arial" w:cs="Arial"/>
          <w:szCs w:val="24"/>
          <w:lang w:eastAsia="en-GB"/>
        </w:rPr>
      </w:pPr>
    </w:p>
    <w:sectPr w:rsidR="004229F8" w:rsidRPr="0054163C" w:rsidSect="00AC66B6">
      <w:headerReference w:type="even" r:id="rId8"/>
      <w:headerReference w:type="default" r:id="rId9"/>
      <w:footerReference w:type="even" r:id="rId10"/>
      <w:footerReference w:type="default" r:id="rId11"/>
      <w:headerReference w:type="first" r:id="rId12"/>
      <w:footerReference w:type="first" r:id="rId13"/>
      <w:pgSz w:w="11906" w:h="16838"/>
      <w:pgMar w:top="567" w:right="1134"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1646A" w14:textId="77777777" w:rsidR="00816A39" w:rsidRDefault="00816A39" w:rsidP="00F5702C">
      <w:r>
        <w:separator/>
      </w:r>
    </w:p>
  </w:endnote>
  <w:endnote w:type="continuationSeparator" w:id="0">
    <w:p w14:paraId="03E40EC5" w14:textId="77777777" w:rsidR="00816A39" w:rsidRDefault="00816A39" w:rsidP="00F5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CEC2" w14:textId="77777777" w:rsidR="00AC66B6" w:rsidRDefault="00AC6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9669" w14:textId="77777777" w:rsidR="00AC66B6" w:rsidRDefault="00AC6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E26F" w14:textId="77777777" w:rsidR="004229F8" w:rsidRDefault="0042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1C3D" w14:textId="77777777" w:rsidR="00816A39" w:rsidRDefault="00816A39" w:rsidP="00F5702C">
      <w:r>
        <w:separator/>
      </w:r>
    </w:p>
  </w:footnote>
  <w:footnote w:type="continuationSeparator" w:id="0">
    <w:p w14:paraId="3077629B" w14:textId="77777777" w:rsidR="00816A39" w:rsidRDefault="00816A39" w:rsidP="00F5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C81" w14:textId="77777777" w:rsidR="00AC66B6" w:rsidRDefault="00AC6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2601" w14:textId="77777777" w:rsidR="00AC66B6" w:rsidRDefault="00AC6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118A" w14:textId="77777777" w:rsidR="00F5702C" w:rsidRDefault="00F5702C">
    <w:pPr>
      <w:pStyle w:val="Header"/>
    </w:pPr>
    <w:r>
      <w:rPr>
        <w:noProof/>
        <w:lang w:eastAsia="en-GB"/>
      </w:rPr>
      <w:drawing>
        <wp:anchor distT="0" distB="0" distL="114300" distR="114300" simplePos="0" relativeHeight="251659264" behindDoc="1" locked="1" layoutInCell="1" allowOverlap="1" wp14:anchorId="34906ED4" wp14:editId="23F87DB5">
          <wp:simplePos x="-15240" y="-7620"/>
          <wp:positionH relativeFrom="page">
            <wp:align>center</wp:align>
          </wp:positionH>
          <wp:positionV relativeFrom="page">
            <wp:align>center</wp:align>
          </wp:positionV>
          <wp:extent cx="7566660" cy="10694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566660" cy="106945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C6335"/>
    <w:multiLevelType w:val="hybridMultilevel"/>
    <w:tmpl w:val="69F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12124"/>
    <w:multiLevelType w:val="hybridMultilevel"/>
    <w:tmpl w:val="42BC7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4730AB"/>
    <w:multiLevelType w:val="hybridMultilevel"/>
    <w:tmpl w:val="B13E4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NDE3MTQ1NTQwsDBW0lEKTi0uzszPAykwqgUAFht9DiwAAAA="/>
  </w:docVars>
  <w:rsids>
    <w:rsidRoot w:val="00F5702C"/>
    <w:rsid w:val="00074818"/>
    <w:rsid w:val="000A489F"/>
    <w:rsid w:val="001F357B"/>
    <w:rsid w:val="0021090D"/>
    <w:rsid w:val="00254699"/>
    <w:rsid w:val="002752BD"/>
    <w:rsid w:val="002A184E"/>
    <w:rsid w:val="00340613"/>
    <w:rsid w:val="00364513"/>
    <w:rsid w:val="004229F8"/>
    <w:rsid w:val="004E7911"/>
    <w:rsid w:val="00511EAC"/>
    <w:rsid w:val="0054163C"/>
    <w:rsid w:val="006C52C4"/>
    <w:rsid w:val="00795318"/>
    <w:rsid w:val="007F47B8"/>
    <w:rsid w:val="00816A39"/>
    <w:rsid w:val="00820B97"/>
    <w:rsid w:val="00826369"/>
    <w:rsid w:val="0083286A"/>
    <w:rsid w:val="00927F94"/>
    <w:rsid w:val="00931532"/>
    <w:rsid w:val="00947C69"/>
    <w:rsid w:val="00974496"/>
    <w:rsid w:val="009F7B04"/>
    <w:rsid w:val="00A94F09"/>
    <w:rsid w:val="00A970DC"/>
    <w:rsid w:val="00AC66B6"/>
    <w:rsid w:val="00AE51A6"/>
    <w:rsid w:val="00B33348"/>
    <w:rsid w:val="00DB6E79"/>
    <w:rsid w:val="00E427A5"/>
    <w:rsid w:val="00F5702C"/>
    <w:rsid w:val="00F9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0C3E7"/>
  <w15:docId w15:val="{4E65BD6F-D0CF-4609-8F78-AB9A401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02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702C"/>
  </w:style>
  <w:style w:type="paragraph" w:styleId="Footer">
    <w:name w:val="footer"/>
    <w:basedOn w:val="Normal"/>
    <w:link w:val="FooterChar"/>
    <w:uiPriority w:val="99"/>
    <w:unhideWhenUsed/>
    <w:rsid w:val="00F5702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5702C"/>
  </w:style>
  <w:style w:type="paragraph" w:styleId="BalloonText">
    <w:name w:val="Balloon Text"/>
    <w:basedOn w:val="Normal"/>
    <w:link w:val="BalloonTextChar"/>
    <w:uiPriority w:val="99"/>
    <w:semiHidden/>
    <w:unhideWhenUsed/>
    <w:rsid w:val="00F5702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5702C"/>
    <w:rPr>
      <w:rFonts w:ascii="Tahoma" w:hAnsi="Tahoma" w:cs="Tahoma"/>
      <w:sz w:val="16"/>
      <w:szCs w:val="16"/>
    </w:rPr>
  </w:style>
  <w:style w:type="table" w:styleId="TableGrid">
    <w:name w:val="Table Grid"/>
    <w:basedOn w:val="TableNormal"/>
    <w:uiPriority w:val="59"/>
    <w:rsid w:val="004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54163C"/>
    <w:pPr>
      <w:suppressAutoHyphens/>
      <w:autoSpaceDE w:val="0"/>
      <w:autoSpaceDN w:val="0"/>
      <w:adjustRightInd w:val="0"/>
      <w:spacing w:line="288" w:lineRule="auto"/>
      <w:textAlignment w:val="center"/>
    </w:pPr>
    <w:rPr>
      <w:rFonts w:ascii="Calibri" w:eastAsia="Calibri" w:hAnsi="Calibri" w:cs="Calibri"/>
      <w:color w:val="000000"/>
      <w:lang w:eastAsia="en-US"/>
    </w:rPr>
  </w:style>
  <w:style w:type="character" w:customStyle="1" w:styleId="BodyChar">
    <w:name w:val="Body Char"/>
    <w:link w:val="Body"/>
    <w:rsid w:val="0054163C"/>
    <w:rPr>
      <w:rFonts w:ascii="Calibri" w:eastAsia="Calibri" w:hAnsi="Calibri" w:cs="Calibri"/>
      <w:color w:val="000000"/>
      <w:sz w:val="24"/>
      <w:szCs w:val="24"/>
    </w:rPr>
  </w:style>
  <w:style w:type="paragraph" w:styleId="ListParagraph">
    <w:name w:val="List Paragraph"/>
    <w:basedOn w:val="Normal"/>
    <w:link w:val="ListParagraphChar"/>
    <w:uiPriority w:val="34"/>
    <w:qFormat/>
    <w:rsid w:val="0054163C"/>
    <w:pPr>
      <w:spacing w:after="200" w:line="276" w:lineRule="auto"/>
      <w:ind w:left="720"/>
      <w:contextualSpacing/>
    </w:pPr>
    <w:rPr>
      <w:rFonts w:ascii="Arial" w:eastAsia="Calibri" w:hAnsi="Arial"/>
      <w:sz w:val="20"/>
      <w:szCs w:val="22"/>
      <w:lang w:eastAsia="en-US"/>
    </w:rPr>
  </w:style>
  <w:style w:type="paragraph" w:customStyle="1" w:styleId="Default">
    <w:name w:val="Default"/>
    <w:rsid w:val="0054163C"/>
    <w:pPr>
      <w:autoSpaceDE w:val="0"/>
      <w:autoSpaceDN w:val="0"/>
      <w:adjustRightInd w:val="0"/>
      <w:spacing w:after="0" w:line="240" w:lineRule="auto"/>
    </w:pPr>
    <w:rPr>
      <w:rFonts w:ascii="Trebuchet MS" w:eastAsia="Calibri" w:hAnsi="Trebuchet MS" w:cs="Trebuchet MS"/>
      <w:color w:val="000000"/>
      <w:sz w:val="24"/>
      <w:szCs w:val="24"/>
      <w:lang w:eastAsia="en-GB"/>
    </w:rPr>
  </w:style>
  <w:style w:type="character" w:customStyle="1" w:styleId="ListParagraphChar">
    <w:name w:val="List Paragraph Char"/>
    <w:link w:val="ListParagraph"/>
    <w:uiPriority w:val="34"/>
    <w:rsid w:val="0054163C"/>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2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74AD-836C-47D6-A392-62CADD1D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Mark (FWCCG)</dc:creator>
  <cp:lastModifiedBy>HARGREAVES, Philip (NHS FYLDE AND WYRE CCG)</cp:lastModifiedBy>
  <cp:revision>10</cp:revision>
  <cp:lastPrinted>2019-11-08T14:17:00Z</cp:lastPrinted>
  <dcterms:created xsi:type="dcterms:W3CDTF">2021-09-09T14:09:00Z</dcterms:created>
  <dcterms:modified xsi:type="dcterms:W3CDTF">2021-09-13T13:03:00Z</dcterms:modified>
</cp:coreProperties>
</file>