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26B1" w14:textId="51BD6F39" w:rsidR="009F6AEF" w:rsidRDefault="007A30A2" w:rsidP="009F6AEF">
      <w:pPr>
        <w:pStyle w:val="Default"/>
        <w:jc w:val="right"/>
      </w:pPr>
      <w:r w:rsidRPr="007A30A2">
        <w:rPr>
          <w:noProof/>
          <w:lang w:eastAsia="en-GB"/>
        </w:rPr>
        <w:drawing>
          <wp:inline distT="0" distB="0" distL="0" distR="0" wp14:anchorId="39ADDCA3" wp14:editId="0BB59FBB">
            <wp:extent cx="5731510" cy="1174294"/>
            <wp:effectExtent l="0" t="0" r="0" b="0"/>
            <wp:docPr id="1" name="Picture 1" descr="\\psn.persimmonhomes.net\shared\Severn Valley\Land\04 James Dura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n.persimmonhomes.net\shared\Severn Valley\Land\04 James Duran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74294"/>
                    </a:xfrm>
                    <a:prstGeom prst="rect">
                      <a:avLst/>
                    </a:prstGeom>
                    <a:noFill/>
                    <a:ln>
                      <a:noFill/>
                    </a:ln>
                  </pic:spPr>
                </pic:pic>
              </a:graphicData>
            </a:graphic>
          </wp:inline>
        </w:drawing>
      </w:r>
    </w:p>
    <w:p w14:paraId="1DD3393B" w14:textId="77777777" w:rsidR="009F6AEF" w:rsidRDefault="009F6AEF" w:rsidP="009F6AEF">
      <w:pPr>
        <w:pStyle w:val="Default"/>
        <w:jc w:val="center"/>
        <w:rPr>
          <w:rFonts w:ascii="Arial" w:hAnsi="Arial" w:cs="Arial"/>
          <w:b/>
          <w:color w:val="1F497D" w:themeColor="text2"/>
        </w:rPr>
      </w:pPr>
    </w:p>
    <w:p w14:paraId="4B4759AF" w14:textId="77777777" w:rsidR="009F6AEF" w:rsidRDefault="009F6AEF" w:rsidP="009F6AEF">
      <w:pPr>
        <w:pStyle w:val="Default"/>
        <w:jc w:val="center"/>
        <w:rPr>
          <w:rFonts w:ascii="Arial" w:hAnsi="Arial" w:cs="Arial"/>
          <w:b/>
          <w:color w:val="1F497D" w:themeColor="text2"/>
        </w:rPr>
      </w:pPr>
    </w:p>
    <w:p w14:paraId="0B4872D5" w14:textId="77777777" w:rsidR="00E86B3A" w:rsidRDefault="00E86B3A" w:rsidP="009F6AEF">
      <w:pPr>
        <w:pStyle w:val="Default"/>
        <w:jc w:val="center"/>
        <w:rPr>
          <w:rFonts w:ascii="Arial" w:hAnsi="Arial" w:cs="Arial"/>
          <w:b/>
          <w:color w:val="1F497D" w:themeColor="text2"/>
        </w:rPr>
      </w:pPr>
    </w:p>
    <w:p w14:paraId="756A0A33" w14:textId="77777777" w:rsidR="00E86B3A" w:rsidRDefault="00E86B3A" w:rsidP="009F6AEF">
      <w:pPr>
        <w:pStyle w:val="Default"/>
        <w:jc w:val="center"/>
        <w:rPr>
          <w:rFonts w:ascii="Arial" w:hAnsi="Arial" w:cs="Arial"/>
          <w:b/>
          <w:color w:val="1F497D" w:themeColor="text2"/>
        </w:rPr>
      </w:pPr>
    </w:p>
    <w:p w14:paraId="001648E8" w14:textId="77777777" w:rsidR="00E86B3A" w:rsidRDefault="00E86B3A" w:rsidP="009F6AEF">
      <w:pPr>
        <w:pStyle w:val="Default"/>
        <w:jc w:val="center"/>
        <w:rPr>
          <w:rFonts w:ascii="Arial" w:hAnsi="Arial" w:cs="Arial"/>
          <w:b/>
          <w:color w:val="1F497D" w:themeColor="text2"/>
        </w:rPr>
      </w:pPr>
    </w:p>
    <w:p w14:paraId="71F7A1DA" w14:textId="77777777" w:rsidR="00E86B3A" w:rsidRDefault="00E86B3A" w:rsidP="009F6AEF">
      <w:pPr>
        <w:pStyle w:val="Default"/>
        <w:jc w:val="center"/>
        <w:rPr>
          <w:rFonts w:ascii="Arial" w:hAnsi="Arial" w:cs="Arial"/>
          <w:b/>
          <w:color w:val="1F497D" w:themeColor="text2"/>
        </w:rPr>
      </w:pPr>
    </w:p>
    <w:p w14:paraId="44092387" w14:textId="77777777" w:rsidR="00E86B3A" w:rsidRDefault="00E86B3A" w:rsidP="009F6AEF">
      <w:pPr>
        <w:pStyle w:val="Default"/>
        <w:jc w:val="center"/>
        <w:rPr>
          <w:rFonts w:ascii="Arial" w:hAnsi="Arial" w:cs="Arial"/>
          <w:b/>
          <w:color w:val="1F497D" w:themeColor="text2"/>
        </w:rPr>
      </w:pPr>
      <w:bookmarkStart w:id="0" w:name="_GoBack"/>
      <w:bookmarkEnd w:id="0"/>
    </w:p>
    <w:p w14:paraId="2DA4D8EC" w14:textId="77777777" w:rsidR="00E86B3A" w:rsidRDefault="00E86B3A" w:rsidP="009F6AEF">
      <w:pPr>
        <w:pStyle w:val="Default"/>
        <w:jc w:val="center"/>
        <w:rPr>
          <w:rFonts w:ascii="Arial" w:hAnsi="Arial" w:cs="Arial"/>
          <w:b/>
          <w:color w:val="1F497D" w:themeColor="text2"/>
        </w:rPr>
      </w:pPr>
    </w:p>
    <w:p w14:paraId="28229846" w14:textId="77777777" w:rsidR="00E86B3A" w:rsidRDefault="00E86B3A" w:rsidP="009F6AEF">
      <w:pPr>
        <w:pStyle w:val="Default"/>
        <w:jc w:val="center"/>
        <w:rPr>
          <w:rFonts w:ascii="Arial" w:hAnsi="Arial" w:cs="Arial"/>
          <w:b/>
          <w:color w:val="1F497D" w:themeColor="text2"/>
        </w:rPr>
      </w:pPr>
    </w:p>
    <w:p w14:paraId="5238744B" w14:textId="77777777" w:rsidR="00E86B3A" w:rsidRDefault="00E86B3A" w:rsidP="00E86B3A">
      <w:pPr>
        <w:pStyle w:val="Default"/>
        <w:jc w:val="right"/>
        <w:rPr>
          <w:rFonts w:ascii="Arial" w:hAnsi="Arial" w:cs="Arial"/>
          <w:b/>
          <w:color w:val="1F497D" w:themeColor="text2"/>
        </w:rPr>
      </w:pPr>
    </w:p>
    <w:p w14:paraId="5AD24A4B" w14:textId="77777777" w:rsidR="006A3709" w:rsidRDefault="006A3709" w:rsidP="00E86B3A">
      <w:pPr>
        <w:pStyle w:val="Default"/>
        <w:jc w:val="right"/>
        <w:rPr>
          <w:rFonts w:ascii="Arial" w:hAnsi="Arial" w:cs="Arial"/>
          <w:b/>
          <w:color w:val="1F497D" w:themeColor="text2"/>
        </w:rPr>
      </w:pPr>
    </w:p>
    <w:p w14:paraId="50791269" w14:textId="77777777" w:rsidR="006A3709" w:rsidRDefault="006A3709" w:rsidP="00E86B3A">
      <w:pPr>
        <w:pStyle w:val="Default"/>
        <w:jc w:val="right"/>
        <w:rPr>
          <w:rFonts w:ascii="Arial" w:hAnsi="Arial" w:cs="Arial"/>
          <w:b/>
          <w:color w:val="1F497D" w:themeColor="text2"/>
        </w:rPr>
      </w:pPr>
    </w:p>
    <w:p w14:paraId="4FC426F4" w14:textId="77777777" w:rsidR="00E86B3A" w:rsidRDefault="00E86B3A" w:rsidP="009F6AEF">
      <w:pPr>
        <w:pStyle w:val="Default"/>
        <w:jc w:val="center"/>
        <w:rPr>
          <w:rFonts w:ascii="Arial" w:hAnsi="Arial" w:cs="Arial"/>
          <w:b/>
          <w:color w:val="1F497D" w:themeColor="text2"/>
        </w:rPr>
      </w:pPr>
    </w:p>
    <w:p w14:paraId="33172C31" w14:textId="77777777" w:rsidR="00E86B3A" w:rsidRDefault="00E86B3A" w:rsidP="009F6AEF">
      <w:pPr>
        <w:pStyle w:val="Default"/>
        <w:jc w:val="center"/>
        <w:rPr>
          <w:rFonts w:ascii="Arial" w:hAnsi="Arial" w:cs="Arial"/>
          <w:b/>
          <w:color w:val="1F497D" w:themeColor="text2"/>
        </w:rPr>
      </w:pPr>
    </w:p>
    <w:p w14:paraId="1B072D91" w14:textId="77777777" w:rsidR="00E86B3A" w:rsidRDefault="00E86B3A" w:rsidP="009F6AEF">
      <w:pPr>
        <w:pStyle w:val="Default"/>
        <w:jc w:val="center"/>
        <w:rPr>
          <w:rFonts w:ascii="Arial" w:hAnsi="Arial" w:cs="Arial"/>
          <w:b/>
          <w:color w:val="1F497D" w:themeColor="text2"/>
        </w:rPr>
      </w:pPr>
    </w:p>
    <w:p w14:paraId="7D6BDE60" w14:textId="77777777" w:rsidR="00CD6A74" w:rsidRDefault="00CD6A74" w:rsidP="00E86B3A">
      <w:pPr>
        <w:pStyle w:val="Default"/>
        <w:spacing w:line="360" w:lineRule="auto"/>
        <w:jc w:val="center"/>
        <w:rPr>
          <w:rFonts w:ascii="Arial" w:hAnsi="Arial" w:cs="Arial"/>
          <w:b/>
          <w:color w:val="1F497D" w:themeColor="text2"/>
          <w:sz w:val="28"/>
          <w:szCs w:val="28"/>
        </w:rPr>
      </w:pPr>
    </w:p>
    <w:p w14:paraId="2E3F0CC0" w14:textId="77777777" w:rsidR="00CD6A74" w:rsidRDefault="00556A8F" w:rsidP="00E86B3A">
      <w:pPr>
        <w:pStyle w:val="Default"/>
        <w:spacing w:line="360" w:lineRule="auto"/>
        <w:jc w:val="center"/>
        <w:rPr>
          <w:rFonts w:ascii="Arial" w:hAnsi="Arial" w:cs="Arial"/>
          <w:b/>
          <w:bCs/>
          <w:color w:val="1F497D" w:themeColor="text2"/>
          <w:sz w:val="28"/>
          <w:szCs w:val="28"/>
        </w:rPr>
      </w:pPr>
      <w:r w:rsidRPr="00CD6A74">
        <w:rPr>
          <w:rFonts w:ascii="Arial" w:hAnsi="Arial" w:cs="Arial"/>
          <w:b/>
          <w:color w:val="1F497D" w:themeColor="text2"/>
          <w:sz w:val="28"/>
          <w:szCs w:val="28"/>
        </w:rPr>
        <w:t xml:space="preserve">Land </w:t>
      </w:r>
      <w:r w:rsidR="006A3709">
        <w:rPr>
          <w:rFonts w:ascii="Arial" w:hAnsi="Arial" w:cs="Arial"/>
          <w:b/>
          <w:color w:val="1F497D" w:themeColor="text2"/>
          <w:sz w:val="28"/>
          <w:szCs w:val="28"/>
        </w:rPr>
        <w:t>north-west of Cam</w:t>
      </w:r>
    </w:p>
    <w:p w14:paraId="43D8EF9A" w14:textId="77777777" w:rsidR="009F6AEF" w:rsidRPr="0080552B" w:rsidRDefault="009F6AEF" w:rsidP="00E86B3A">
      <w:pPr>
        <w:pStyle w:val="Default"/>
        <w:spacing w:line="360" w:lineRule="auto"/>
        <w:jc w:val="center"/>
        <w:rPr>
          <w:rFonts w:ascii="Arial" w:hAnsi="Arial" w:cs="Arial"/>
          <w:b/>
          <w:color w:val="1F497D" w:themeColor="text2"/>
          <w:sz w:val="28"/>
          <w:szCs w:val="28"/>
        </w:rPr>
      </w:pPr>
      <w:r w:rsidRPr="0080552B">
        <w:rPr>
          <w:rFonts w:ascii="Arial" w:hAnsi="Arial" w:cs="Arial"/>
          <w:b/>
          <w:bCs/>
          <w:color w:val="1F497D" w:themeColor="text2"/>
          <w:sz w:val="28"/>
          <w:szCs w:val="28"/>
        </w:rPr>
        <w:t xml:space="preserve">DRAFT HEADS OF TERMS </w:t>
      </w:r>
    </w:p>
    <w:p w14:paraId="746CB637" w14:textId="77777777" w:rsidR="009F6AEF" w:rsidRPr="0080552B" w:rsidRDefault="004E7C1D" w:rsidP="00E86B3A">
      <w:pPr>
        <w:pStyle w:val="Default"/>
        <w:spacing w:line="360" w:lineRule="auto"/>
        <w:jc w:val="center"/>
        <w:rPr>
          <w:rFonts w:ascii="Arial" w:hAnsi="Arial" w:cs="Arial"/>
          <w:color w:val="1F497D" w:themeColor="text2"/>
          <w:sz w:val="28"/>
          <w:szCs w:val="28"/>
        </w:rPr>
      </w:pPr>
      <w:r>
        <w:rPr>
          <w:rFonts w:ascii="Arial" w:hAnsi="Arial" w:cs="Arial"/>
          <w:b/>
          <w:bCs/>
          <w:color w:val="1F497D" w:themeColor="text2"/>
          <w:sz w:val="28"/>
          <w:szCs w:val="28"/>
        </w:rPr>
        <w:t>(</w:t>
      </w:r>
      <w:r w:rsidR="00F26708">
        <w:rPr>
          <w:rFonts w:ascii="Arial" w:hAnsi="Arial" w:cs="Arial"/>
          <w:b/>
          <w:bCs/>
          <w:color w:val="1F497D" w:themeColor="text2"/>
          <w:sz w:val="28"/>
          <w:szCs w:val="28"/>
        </w:rPr>
        <w:t>J</w:t>
      </w:r>
      <w:r w:rsidR="006A3709">
        <w:rPr>
          <w:rFonts w:ascii="Arial" w:hAnsi="Arial" w:cs="Arial"/>
          <w:b/>
          <w:bCs/>
          <w:color w:val="1F497D" w:themeColor="text2"/>
          <w:sz w:val="28"/>
          <w:szCs w:val="28"/>
        </w:rPr>
        <w:t>une</w:t>
      </w:r>
      <w:r w:rsidR="00FF4224">
        <w:rPr>
          <w:rFonts w:ascii="Arial" w:hAnsi="Arial" w:cs="Arial"/>
          <w:b/>
          <w:bCs/>
          <w:color w:val="1F497D" w:themeColor="text2"/>
          <w:sz w:val="28"/>
          <w:szCs w:val="28"/>
        </w:rPr>
        <w:t>202</w:t>
      </w:r>
      <w:r w:rsidR="00F26708">
        <w:rPr>
          <w:rFonts w:ascii="Arial" w:hAnsi="Arial" w:cs="Arial"/>
          <w:b/>
          <w:bCs/>
          <w:color w:val="1F497D" w:themeColor="text2"/>
          <w:sz w:val="28"/>
          <w:szCs w:val="28"/>
        </w:rPr>
        <w:t>1</w:t>
      </w:r>
      <w:r w:rsidR="009F6AEF" w:rsidRPr="0080552B">
        <w:rPr>
          <w:rFonts w:ascii="Arial" w:hAnsi="Arial" w:cs="Arial"/>
          <w:b/>
          <w:bCs/>
          <w:color w:val="1F497D" w:themeColor="text2"/>
          <w:sz w:val="28"/>
          <w:szCs w:val="28"/>
        </w:rPr>
        <w:t xml:space="preserve">) </w:t>
      </w:r>
    </w:p>
    <w:p w14:paraId="099762EE" w14:textId="77777777" w:rsidR="00DB578D" w:rsidRDefault="00DB578D" w:rsidP="00E86B3A">
      <w:pPr>
        <w:pStyle w:val="Default"/>
        <w:spacing w:line="360" w:lineRule="auto"/>
        <w:jc w:val="center"/>
        <w:rPr>
          <w:rFonts w:ascii="Arial" w:hAnsi="Arial" w:cs="Arial"/>
          <w:b/>
          <w:bCs/>
          <w:color w:val="1F497D" w:themeColor="text2"/>
          <w:sz w:val="28"/>
          <w:szCs w:val="28"/>
        </w:rPr>
      </w:pPr>
    </w:p>
    <w:p w14:paraId="0FBAFD2F" w14:textId="77777777" w:rsidR="009F6AEF" w:rsidRDefault="009F6AEF" w:rsidP="009F6AEF">
      <w:pPr>
        <w:pStyle w:val="Default"/>
      </w:pPr>
    </w:p>
    <w:p w14:paraId="138FBACF" w14:textId="77777777" w:rsidR="00E86B3A" w:rsidRDefault="00E86B3A" w:rsidP="009F6AEF">
      <w:pPr>
        <w:pStyle w:val="Default"/>
      </w:pPr>
    </w:p>
    <w:p w14:paraId="0BFE5CA9" w14:textId="77777777" w:rsidR="00E86B3A" w:rsidRDefault="00E86B3A" w:rsidP="009F6AEF">
      <w:pPr>
        <w:pStyle w:val="Default"/>
      </w:pPr>
    </w:p>
    <w:p w14:paraId="3835817B" w14:textId="77777777" w:rsidR="00E86B3A" w:rsidRDefault="00E86B3A" w:rsidP="009F6AEF">
      <w:pPr>
        <w:pStyle w:val="Default"/>
      </w:pPr>
    </w:p>
    <w:p w14:paraId="77B52D76" w14:textId="77777777" w:rsidR="00E86B3A" w:rsidRDefault="00E86B3A" w:rsidP="009F6AEF">
      <w:pPr>
        <w:pStyle w:val="Default"/>
      </w:pPr>
    </w:p>
    <w:p w14:paraId="7C9E09A4" w14:textId="77777777" w:rsidR="00E86B3A" w:rsidRDefault="00E86B3A" w:rsidP="009F6AEF">
      <w:pPr>
        <w:pStyle w:val="Default"/>
      </w:pPr>
    </w:p>
    <w:p w14:paraId="55E4C97E" w14:textId="77777777" w:rsidR="00E86B3A" w:rsidRDefault="00E86B3A" w:rsidP="009F6AEF">
      <w:pPr>
        <w:pStyle w:val="Default"/>
      </w:pPr>
    </w:p>
    <w:p w14:paraId="4512DCC9" w14:textId="77777777" w:rsidR="00E86B3A" w:rsidRDefault="00E86B3A" w:rsidP="009F6AEF">
      <w:pPr>
        <w:pStyle w:val="Default"/>
      </w:pPr>
    </w:p>
    <w:p w14:paraId="7FACE814" w14:textId="77777777" w:rsidR="00E86B3A" w:rsidRDefault="00E86B3A" w:rsidP="009F6AEF">
      <w:pPr>
        <w:pStyle w:val="Default"/>
      </w:pPr>
    </w:p>
    <w:p w14:paraId="27503809" w14:textId="77777777" w:rsidR="00E86B3A" w:rsidRDefault="00E86B3A" w:rsidP="00B14DE6">
      <w:pPr>
        <w:pStyle w:val="Default"/>
        <w:jc w:val="right"/>
      </w:pPr>
    </w:p>
    <w:p w14:paraId="4B8272FB" w14:textId="77777777" w:rsidR="00B14DE6" w:rsidRDefault="00B14DE6" w:rsidP="00B14DE6">
      <w:pPr>
        <w:pStyle w:val="Default"/>
        <w:jc w:val="right"/>
        <w:rPr>
          <w:rFonts w:ascii="Arial" w:hAnsi="Arial" w:cs="Arial"/>
          <w:color w:val="1F497D" w:themeColor="text2"/>
        </w:rPr>
      </w:pPr>
    </w:p>
    <w:p w14:paraId="6681EC7C" w14:textId="77777777" w:rsidR="00B14DE6" w:rsidRDefault="00B14DE6" w:rsidP="00B14DE6">
      <w:pPr>
        <w:pStyle w:val="Default"/>
        <w:jc w:val="right"/>
        <w:rPr>
          <w:rFonts w:ascii="Arial" w:hAnsi="Arial" w:cs="Arial"/>
          <w:color w:val="1F497D" w:themeColor="text2"/>
        </w:rPr>
      </w:pPr>
    </w:p>
    <w:p w14:paraId="215A4111" w14:textId="77777777" w:rsidR="00B14DE6" w:rsidRDefault="00B14DE6" w:rsidP="00B14DE6">
      <w:pPr>
        <w:pStyle w:val="Default"/>
        <w:jc w:val="right"/>
        <w:rPr>
          <w:rFonts w:ascii="Arial" w:hAnsi="Arial" w:cs="Arial"/>
          <w:color w:val="1F497D" w:themeColor="text2"/>
        </w:rPr>
      </w:pPr>
    </w:p>
    <w:p w14:paraId="1E7EF1DC" w14:textId="77777777" w:rsidR="00B14DE6" w:rsidRDefault="00B14DE6" w:rsidP="00B14DE6">
      <w:pPr>
        <w:pStyle w:val="Default"/>
        <w:jc w:val="right"/>
        <w:rPr>
          <w:rFonts w:ascii="Arial" w:hAnsi="Arial" w:cs="Arial"/>
          <w:color w:val="1F497D" w:themeColor="text2"/>
        </w:rPr>
      </w:pPr>
    </w:p>
    <w:p w14:paraId="07113FBF" w14:textId="77777777" w:rsidR="00B14DE6" w:rsidRDefault="00B14DE6" w:rsidP="00B14DE6">
      <w:pPr>
        <w:pStyle w:val="Default"/>
        <w:jc w:val="right"/>
        <w:rPr>
          <w:rFonts w:ascii="Arial" w:hAnsi="Arial" w:cs="Arial"/>
          <w:color w:val="1F497D" w:themeColor="text2"/>
        </w:rPr>
      </w:pPr>
    </w:p>
    <w:p w14:paraId="3BC7260E" w14:textId="77777777" w:rsidR="0027743D" w:rsidRDefault="0027743D" w:rsidP="00B14DE6">
      <w:pPr>
        <w:pStyle w:val="Default"/>
        <w:jc w:val="right"/>
        <w:rPr>
          <w:rFonts w:ascii="Arial" w:hAnsi="Arial" w:cs="Arial"/>
          <w:color w:val="1F497D" w:themeColor="text2"/>
          <w:sz w:val="20"/>
          <w:szCs w:val="20"/>
        </w:rPr>
      </w:pPr>
    </w:p>
    <w:p w14:paraId="620BAC3E" w14:textId="77777777" w:rsidR="00556A8F" w:rsidRDefault="00556A8F" w:rsidP="0080552B">
      <w:pPr>
        <w:pStyle w:val="Default"/>
        <w:ind w:firstLine="360"/>
        <w:rPr>
          <w:rFonts w:ascii="Arial" w:hAnsi="Arial" w:cs="Arial"/>
          <w:b/>
          <w:color w:val="1F497D" w:themeColor="text2"/>
        </w:rPr>
      </w:pPr>
    </w:p>
    <w:p w14:paraId="74DBB976" w14:textId="77777777" w:rsidR="0027743D" w:rsidRDefault="0027743D" w:rsidP="0080552B">
      <w:pPr>
        <w:pStyle w:val="Default"/>
        <w:ind w:firstLine="360"/>
        <w:rPr>
          <w:rFonts w:ascii="Arial" w:hAnsi="Arial" w:cs="Arial"/>
          <w:b/>
          <w:color w:val="1F497D" w:themeColor="text2"/>
        </w:rPr>
      </w:pPr>
    </w:p>
    <w:p w14:paraId="2C66D622" w14:textId="77777777" w:rsidR="0027743D" w:rsidRDefault="0027743D" w:rsidP="0080552B">
      <w:pPr>
        <w:pStyle w:val="Default"/>
        <w:ind w:firstLine="360"/>
        <w:rPr>
          <w:rFonts w:ascii="Arial" w:hAnsi="Arial" w:cs="Arial"/>
          <w:b/>
          <w:color w:val="1F497D" w:themeColor="text2"/>
        </w:rPr>
      </w:pPr>
    </w:p>
    <w:p w14:paraId="0031B058" w14:textId="77777777" w:rsidR="0027743D" w:rsidRDefault="0027743D" w:rsidP="0080552B">
      <w:pPr>
        <w:pStyle w:val="Default"/>
        <w:ind w:firstLine="360"/>
        <w:rPr>
          <w:rFonts w:ascii="Arial" w:hAnsi="Arial" w:cs="Arial"/>
          <w:b/>
          <w:color w:val="1F497D" w:themeColor="text2"/>
        </w:rPr>
      </w:pPr>
    </w:p>
    <w:p w14:paraId="0D46D938" w14:textId="77777777" w:rsidR="0027743D" w:rsidRDefault="0027743D" w:rsidP="0080552B">
      <w:pPr>
        <w:pStyle w:val="Default"/>
        <w:ind w:firstLine="360"/>
        <w:rPr>
          <w:rFonts w:ascii="Arial" w:hAnsi="Arial" w:cs="Arial"/>
          <w:b/>
          <w:color w:val="1F497D" w:themeColor="text2"/>
        </w:rPr>
      </w:pPr>
    </w:p>
    <w:p w14:paraId="7207E420" w14:textId="77777777" w:rsidR="00556A8F" w:rsidRDefault="00556A8F" w:rsidP="0080552B">
      <w:pPr>
        <w:pStyle w:val="Default"/>
        <w:ind w:firstLine="360"/>
        <w:rPr>
          <w:rFonts w:ascii="Arial" w:hAnsi="Arial" w:cs="Arial"/>
          <w:b/>
          <w:color w:val="1F497D" w:themeColor="text2"/>
        </w:rPr>
      </w:pPr>
    </w:p>
    <w:p w14:paraId="33C7A357" w14:textId="77777777" w:rsidR="00222369" w:rsidRDefault="00222369" w:rsidP="0080552B">
      <w:pPr>
        <w:pStyle w:val="Default"/>
        <w:ind w:firstLine="360"/>
        <w:rPr>
          <w:rFonts w:ascii="Arial" w:hAnsi="Arial" w:cs="Arial"/>
          <w:b/>
          <w:color w:val="1F497D" w:themeColor="text2"/>
        </w:rPr>
      </w:pPr>
    </w:p>
    <w:p w14:paraId="0CD217C0" w14:textId="77777777" w:rsidR="00222369" w:rsidRDefault="00222369" w:rsidP="0080552B">
      <w:pPr>
        <w:pStyle w:val="Default"/>
        <w:ind w:firstLine="360"/>
        <w:rPr>
          <w:rFonts w:ascii="Arial" w:hAnsi="Arial" w:cs="Arial"/>
          <w:b/>
          <w:color w:val="1F497D" w:themeColor="text2"/>
        </w:rPr>
      </w:pPr>
    </w:p>
    <w:p w14:paraId="72E5DDBD" w14:textId="77777777" w:rsidR="00C10FAA" w:rsidRPr="00C10FAA" w:rsidRDefault="00C10FAA" w:rsidP="0030498B">
      <w:pPr>
        <w:pStyle w:val="Default"/>
        <w:spacing w:line="360" w:lineRule="auto"/>
        <w:ind w:left="360"/>
        <w:jc w:val="both"/>
        <w:rPr>
          <w:rFonts w:ascii="Arial" w:hAnsi="Arial" w:cs="Arial"/>
          <w:color w:val="1F497D" w:themeColor="text2"/>
        </w:rPr>
      </w:pPr>
    </w:p>
    <w:p w14:paraId="77789651" w14:textId="77777777" w:rsidR="00197BE5" w:rsidRDefault="00197BE5" w:rsidP="00197BE5">
      <w:pPr>
        <w:pStyle w:val="Default"/>
        <w:spacing w:line="360" w:lineRule="auto"/>
        <w:ind w:left="360"/>
        <w:jc w:val="both"/>
        <w:rPr>
          <w:rFonts w:ascii="Arial" w:hAnsi="Arial" w:cs="Arial"/>
          <w:color w:val="1F497D" w:themeColor="text2"/>
        </w:rPr>
      </w:pPr>
      <w:r w:rsidRPr="00197BE5">
        <w:rPr>
          <w:rFonts w:ascii="Arial" w:hAnsi="Arial" w:cs="Arial"/>
          <w:color w:val="1F497D" w:themeColor="text2"/>
        </w:rPr>
        <w:t>The following Draft Heads of Terms deal with site specific matters, the r</w:t>
      </w:r>
      <w:r w:rsidR="00B13A7D">
        <w:rPr>
          <w:rFonts w:ascii="Arial" w:hAnsi="Arial" w:cs="Arial"/>
          <w:color w:val="1F497D" w:themeColor="text2"/>
        </w:rPr>
        <w:t xml:space="preserve">emainder being covered by </w:t>
      </w:r>
      <w:r w:rsidR="00F26708">
        <w:rPr>
          <w:rFonts w:ascii="Arial" w:hAnsi="Arial" w:cs="Arial"/>
          <w:color w:val="1F497D" w:themeColor="text2"/>
        </w:rPr>
        <w:t>Stroud’s Community Inf</w:t>
      </w:r>
      <w:r w:rsidRPr="00197BE5">
        <w:rPr>
          <w:rFonts w:ascii="Arial" w:hAnsi="Arial" w:cs="Arial"/>
          <w:color w:val="1F497D" w:themeColor="text2"/>
        </w:rPr>
        <w:t>rastructure Levy</w:t>
      </w:r>
      <w:r w:rsidR="00D97A40">
        <w:rPr>
          <w:rFonts w:ascii="Arial" w:hAnsi="Arial" w:cs="Arial"/>
          <w:color w:val="1F497D" w:themeColor="text2"/>
        </w:rPr>
        <w:t>.</w:t>
      </w:r>
    </w:p>
    <w:p w14:paraId="682B889A" w14:textId="77777777" w:rsidR="00926120" w:rsidRDefault="00926120" w:rsidP="00197BE5">
      <w:pPr>
        <w:pStyle w:val="Default"/>
        <w:spacing w:line="360" w:lineRule="auto"/>
        <w:ind w:left="360"/>
        <w:jc w:val="both"/>
        <w:rPr>
          <w:rFonts w:ascii="Arial" w:hAnsi="Arial" w:cs="Arial"/>
          <w:color w:val="1F497D" w:themeColor="text2"/>
        </w:rPr>
      </w:pPr>
    </w:p>
    <w:p w14:paraId="69245A6D" w14:textId="77777777" w:rsidR="00926120" w:rsidRDefault="00926120" w:rsidP="00197BE5">
      <w:pPr>
        <w:pStyle w:val="Default"/>
        <w:spacing w:line="360" w:lineRule="auto"/>
        <w:ind w:left="360"/>
        <w:jc w:val="both"/>
        <w:rPr>
          <w:rFonts w:ascii="Arial" w:hAnsi="Arial" w:cs="Arial"/>
          <w:color w:val="1F497D" w:themeColor="text2"/>
        </w:rPr>
      </w:pPr>
      <w:r>
        <w:rPr>
          <w:rFonts w:ascii="Arial" w:hAnsi="Arial" w:cs="Arial"/>
          <w:color w:val="1F497D" w:themeColor="text2"/>
        </w:rPr>
        <w:t>For the avoida</w:t>
      </w:r>
      <w:r w:rsidR="00726AE5">
        <w:rPr>
          <w:rFonts w:ascii="Arial" w:hAnsi="Arial" w:cs="Arial"/>
          <w:color w:val="1F497D" w:themeColor="text2"/>
        </w:rPr>
        <w:t xml:space="preserve">nce of any doubt there will be </w:t>
      </w:r>
      <w:r>
        <w:rPr>
          <w:rFonts w:ascii="Arial" w:hAnsi="Arial" w:cs="Arial"/>
          <w:color w:val="1F497D" w:themeColor="text2"/>
        </w:rPr>
        <w:t>separate legal agreement</w:t>
      </w:r>
      <w:r w:rsidR="00726AE5">
        <w:rPr>
          <w:rFonts w:ascii="Arial" w:hAnsi="Arial" w:cs="Arial"/>
          <w:color w:val="1F497D" w:themeColor="text2"/>
        </w:rPr>
        <w:t>s</w:t>
      </w:r>
      <w:r>
        <w:rPr>
          <w:rFonts w:ascii="Arial" w:hAnsi="Arial" w:cs="Arial"/>
          <w:color w:val="1F497D" w:themeColor="text2"/>
        </w:rPr>
        <w:t xml:space="preserve"> for that part of the allocation not the subject of this application</w:t>
      </w:r>
      <w:r w:rsidR="00726AE5">
        <w:rPr>
          <w:rFonts w:ascii="Arial" w:hAnsi="Arial" w:cs="Arial"/>
          <w:color w:val="1F497D" w:themeColor="text2"/>
        </w:rPr>
        <w:t xml:space="preserve"> for planning permission</w:t>
      </w:r>
      <w:r>
        <w:rPr>
          <w:rFonts w:ascii="Arial" w:hAnsi="Arial" w:cs="Arial"/>
          <w:color w:val="1F497D" w:themeColor="text2"/>
        </w:rPr>
        <w:t>.</w:t>
      </w:r>
    </w:p>
    <w:p w14:paraId="32AE09AD" w14:textId="77777777" w:rsidR="00197BE5" w:rsidRPr="00197BE5" w:rsidRDefault="00197BE5" w:rsidP="00197BE5">
      <w:pPr>
        <w:pStyle w:val="Default"/>
        <w:spacing w:line="360" w:lineRule="auto"/>
        <w:ind w:left="360"/>
        <w:jc w:val="both"/>
        <w:rPr>
          <w:rFonts w:ascii="Arial" w:hAnsi="Arial" w:cs="Arial"/>
          <w:color w:val="1F497D" w:themeColor="text2"/>
        </w:rPr>
      </w:pPr>
    </w:p>
    <w:p w14:paraId="26165FAD" w14:textId="77777777" w:rsidR="0080552B" w:rsidRPr="0080552B" w:rsidRDefault="0080552B" w:rsidP="00E86B3A">
      <w:pPr>
        <w:pStyle w:val="Default"/>
        <w:spacing w:line="360" w:lineRule="auto"/>
        <w:ind w:left="360"/>
        <w:jc w:val="both"/>
        <w:rPr>
          <w:rFonts w:ascii="Arial" w:hAnsi="Arial" w:cs="Arial"/>
          <w:b/>
          <w:color w:val="1F497D" w:themeColor="text2"/>
        </w:rPr>
      </w:pPr>
      <w:r w:rsidRPr="0080552B">
        <w:rPr>
          <w:rFonts w:ascii="Arial" w:hAnsi="Arial" w:cs="Arial"/>
          <w:b/>
          <w:color w:val="1F497D" w:themeColor="text2"/>
        </w:rPr>
        <w:t>Public Open Space/Recreation Provision</w:t>
      </w:r>
    </w:p>
    <w:p w14:paraId="43613049" w14:textId="77777777" w:rsidR="0080552B" w:rsidRDefault="0080552B" w:rsidP="00E86B3A">
      <w:pPr>
        <w:pStyle w:val="Default"/>
        <w:spacing w:line="360" w:lineRule="auto"/>
        <w:ind w:left="360"/>
        <w:jc w:val="both"/>
        <w:rPr>
          <w:rFonts w:ascii="Arial" w:hAnsi="Arial" w:cs="Arial"/>
          <w:color w:val="1F497D" w:themeColor="text2"/>
        </w:rPr>
      </w:pPr>
    </w:p>
    <w:p w14:paraId="02864274" w14:textId="77777777" w:rsidR="00E86B3A" w:rsidRDefault="009F6AEF" w:rsidP="00E86B3A">
      <w:pPr>
        <w:pStyle w:val="Default"/>
        <w:numPr>
          <w:ilvl w:val="0"/>
          <w:numId w:val="1"/>
        </w:numPr>
        <w:spacing w:line="360" w:lineRule="auto"/>
        <w:jc w:val="both"/>
        <w:rPr>
          <w:rFonts w:ascii="Arial" w:hAnsi="Arial" w:cs="Arial"/>
          <w:color w:val="1F497D" w:themeColor="text2"/>
        </w:rPr>
      </w:pPr>
      <w:r w:rsidRPr="00E86B3A">
        <w:rPr>
          <w:rFonts w:ascii="Arial" w:hAnsi="Arial" w:cs="Arial"/>
          <w:color w:val="1F497D" w:themeColor="text2"/>
        </w:rPr>
        <w:t>At the same time as submitting an application for approval of reserved matters pursuant to the permission, details as to the provision of Public Open</w:t>
      </w:r>
      <w:r w:rsidR="007F483D">
        <w:rPr>
          <w:rFonts w:ascii="Arial" w:hAnsi="Arial" w:cs="Arial"/>
          <w:color w:val="1F497D" w:themeColor="text2"/>
        </w:rPr>
        <w:t xml:space="preserve"> Space</w:t>
      </w:r>
      <w:r w:rsidR="003950AE">
        <w:rPr>
          <w:rFonts w:ascii="Arial" w:hAnsi="Arial" w:cs="Arial"/>
          <w:color w:val="1F497D" w:themeColor="text2"/>
        </w:rPr>
        <w:t xml:space="preserve"> for that phase</w:t>
      </w:r>
      <w:r w:rsidR="007F483D">
        <w:rPr>
          <w:rFonts w:ascii="Arial" w:hAnsi="Arial" w:cs="Arial"/>
          <w:color w:val="1F497D" w:themeColor="text2"/>
        </w:rPr>
        <w:t xml:space="preserve"> </w:t>
      </w:r>
      <w:r w:rsidRPr="00E86B3A">
        <w:rPr>
          <w:rFonts w:ascii="Arial" w:hAnsi="Arial" w:cs="Arial"/>
          <w:color w:val="1F497D" w:themeColor="text2"/>
        </w:rPr>
        <w:t>shall be submit</w:t>
      </w:r>
      <w:r w:rsidR="003950AE">
        <w:rPr>
          <w:rFonts w:ascii="Arial" w:hAnsi="Arial" w:cs="Arial"/>
          <w:color w:val="1F497D" w:themeColor="text2"/>
        </w:rPr>
        <w:t>ted to the</w:t>
      </w:r>
      <w:r w:rsidRPr="00E86B3A">
        <w:rPr>
          <w:rFonts w:ascii="Arial" w:hAnsi="Arial" w:cs="Arial"/>
          <w:color w:val="1F497D" w:themeColor="text2"/>
        </w:rPr>
        <w:t xml:space="preserve"> Council. The Developer will lay out the Public Open Space</w:t>
      </w:r>
      <w:r w:rsidR="007F483D">
        <w:rPr>
          <w:rFonts w:ascii="Arial" w:hAnsi="Arial" w:cs="Arial"/>
          <w:color w:val="1F497D" w:themeColor="text2"/>
        </w:rPr>
        <w:t>/Recreational</w:t>
      </w:r>
      <w:r w:rsidR="00B51D50">
        <w:rPr>
          <w:rFonts w:ascii="Arial" w:hAnsi="Arial" w:cs="Arial"/>
          <w:color w:val="1F497D" w:themeColor="text2"/>
        </w:rPr>
        <w:t xml:space="preserve"> Space</w:t>
      </w:r>
      <w:r w:rsidRPr="00E86B3A">
        <w:rPr>
          <w:rFonts w:ascii="Arial" w:hAnsi="Arial" w:cs="Arial"/>
          <w:color w:val="1F497D" w:themeColor="text2"/>
        </w:rPr>
        <w:t xml:space="preserve"> as approved under the reserved matters application and having received writte</w:t>
      </w:r>
      <w:r w:rsidR="00E86B3A">
        <w:rPr>
          <w:rFonts w:ascii="Arial" w:hAnsi="Arial" w:cs="Arial"/>
          <w:color w:val="1F497D" w:themeColor="text2"/>
        </w:rPr>
        <w:t xml:space="preserve">n confirmation from the </w:t>
      </w:r>
      <w:r w:rsidR="00F26708">
        <w:rPr>
          <w:rFonts w:ascii="Arial" w:hAnsi="Arial" w:cs="Arial"/>
          <w:color w:val="1F497D" w:themeColor="text2"/>
        </w:rPr>
        <w:t>District</w:t>
      </w:r>
      <w:r w:rsidRPr="00E86B3A">
        <w:rPr>
          <w:rFonts w:ascii="Arial" w:hAnsi="Arial" w:cs="Arial"/>
          <w:color w:val="1F497D" w:themeColor="text2"/>
        </w:rPr>
        <w:t xml:space="preserve"> Council that the Public Open Space</w:t>
      </w:r>
      <w:r w:rsidR="00B51D50">
        <w:rPr>
          <w:rFonts w:ascii="Arial" w:hAnsi="Arial" w:cs="Arial"/>
          <w:color w:val="1F497D" w:themeColor="text2"/>
        </w:rPr>
        <w:t>/Recreational Space</w:t>
      </w:r>
      <w:r w:rsidRPr="00E86B3A">
        <w:rPr>
          <w:rFonts w:ascii="Arial" w:hAnsi="Arial" w:cs="Arial"/>
          <w:color w:val="1F497D" w:themeColor="text2"/>
        </w:rPr>
        <w:t xml:space="preserve"> has been laid out to its reasonable satisfaction thereafter to retain maintain and manage the Public Open Space</w:t>
      </w:r>
      <w:r w:rsidR="00B51D50">
        <w:rPr>
          <w:rFonts w:ascii="Arial" w:hAnsi="Arial" w:cs="Arial"/>
          <w:color w:val="1F497D" w:themeColor="text2"/>
        </w:rPr>
        <w:t>/Recreational Space</w:t>
      </w:r>
      <w:r w:rsidRPr="00E86B3A">
        <w:rPr>
          <w:rFonts w:ascii="Arial" w:hAnsi="Arial" w:cs="Arial"/>
          <w:color w:val="1F497D" w:themeColor="text2"/>
        </w:rPr>
        <w:t xml:space="preserve"> in accordance with a Landscape Masterplan for a minimum period of 12 months AND to ensure that the Public Open Space is retained as publicly accessible areas.</w:t>
      </w:r>
    </w:p>
    <w:p w14:paraId="73B01F20" w14:textId="77777777" w:rsidR="00E86B3A" w:rsidRDefault="00E86B3A" w:rsidP="00E86B3A">
      <w:pPr>
        <w:pStyle w:val="Default"/>
        <w:spacing w:line="360" w:lineRule="auto"/>
        <w:jc w:val="both"/>
        <w:rPr>
          <w:rFonts w:ascii="Arial" w:hAnsi="Arial" w:cs="Arial"/>
          <w:color w:val="1F497D" w:themeColor="text2"/>
        </w:rPr>
      </w:pPr>
    </w:p>
    <w:p w14:paraId="46A6F74D" w14:textId="77777777" w:rsidR="009F6AEF" w:rsidRDefault="00E86B3A" w:rsidP="00E86B3A">
      <w:pPr>
        <w:pStyle w:val="Default"/>
        <w:numPr>
          <w:ilvl w:val="0"/>
          <w:numId w:val="1"/>
        </w:numPr>
        <w:spacing w:line="360" w:lineRule="auto"/>
        <w:jc w:val="both"/>
        <w:rPr>
          <w:rFonts w:ascii="Arial" w:hAnsi="Arial" w:cs="Arial"/>
          <w:color w:val="1F497D" w:themeColor="text2"/>
        </w:rPr>
      </w:pPr>
      <w:r>
        <w:rPr>
          <w:rFonts w:ascii="Arial" w:hAnsi="Arial" w:cs="Arial"/>
          <w:color w:val="1F497D" w:themeColor="text2"/>
        </w:rPr>
        <w:t xml:space="preserve">Upon expiry of said 12 months to invite the </w:t>
      </w:r>
      <w:r w:rsidR="00F26708">
        <w:rPr>
          <w:rFonts w:ascii="Arial" w:hAnsi="Arial" w:cs="Arial"/>
          <w:color w:val="1F497D" w:themeColor="text2"/>
        </w:rPr>
        <w:t>District</w:t>
      </w:r>
      <w:r w:rsidRPr="00E86B3A">
        <w:rPr>
          <w:rFonts w:ascii="Arial" w:hAnsi="Arial" w:cs="Arial"/>
          <w:color w:val="1F497D" w:themeColor="text2"/>
        </w:rPr>
        <w:t xml:space="preserve"> Council to inspect the Public Open Space</w:t>
      </w:r>
      <w:r w:rsidR="00B51D50">
        <w:rPr>
          <w:rFonts w:ascii="Arial" w:hAnsi="Arial" w:cs="Arial"/>
          <w:color w:val="1F497D" w:themeColor="text2"/>
        </w:rPr>
        <w:t>/Recreational Space</w:t>
      </w:r>
      <w:r w:rsidRPr="00E86B3A">
        <w:rPr>
          <w:rFonts w:ascii="Arial" w:hAnsi="Arial" w:cs="Arial"/>
          <w:color w:val="1F497D" w:themeColor="text2"/>
        </w:rPr>
        <w:t xml:space="preserve"> and upon confirmatio</w:t>
      </w:r>
      <w:r>
        <w:rPr>
          <w:rFonts w:ascii="Arial" w:hAnsi="Arial" w:cs="Arial"/>
          <w:color w:val="1F497D" w:themeColor="text2"/>
        </w:rPr>
        <w:t xml:space="preserve">n from the </w:t>
      </w:r>
      <w:r w:rsidR="00F26708">
        <w:rPr>
          <w:rFonts w:ascii="Arial" w:hAnsi="Arial" w:cs="Arial"/>
          <w:color w:val="1F497D" w:themeColor="text2"/>
        </w:rPr>
        <w:t>District</w:t>
      </w:r>
      <w:r w:rsidRPr="00E86B3A">
        <w:rPr>
          <w:rFonts w:ascii="Arial" w:hAnsi="Arial" w:cs="Arial"/>
          <w:color w:val="1F497D" w:themeColor="text2"/>
        </w:rPr>
        <w:t xml:space="preserve"> Council that the Public Open Space</w:t>
      </w:r>
      <w:r w:rsidR="00B51D50">
        <w:rPr>
          <w:rFonts w:ascii="Arial" w:hAnsi="Arial" w:cs="Arial"/>
          <w:color w:val="1F497D" w:themeColor="text2"/>
        </w:rPr>
        <w:t>/Recreational Space</w:t>
      </w:r>
      <w:r w:rsidRPr="00E86B3A">
        <w:rPr>
          <w:rFonts w:ascii="Arial" w:hAnsi="Arial" w:cs="Arial"/>
          <w:color w:val="1F497D" w:themeColor="text2"/>
        </w:rPr>
        <w:t xml:space="preserve"> has been properly maintained to its reasonable satisfaction, the Developer may (at its discretion)</w:t>
      </w:r>
      <w:r>
        <w:rPr>
          <w:rFonts w:ascii="Arial" w:hAnsi="Arial" w:cs="Arial"/>
          <w:color w:val="1F497D" w:themeColor="text2"/>
        </w:rPr>
        <w:t xml:space="preserve"> either</w:t>
      </w:r>
    </w:p>
    <w:p w14:paraId="0E6A2C4D" w14:textId="77777777" w:rsidR="009E48DC" w:rsidRPr="00E86B3A" w:rsidRDefault="009E48DC" w:rsidP="009E48DC">
      <w:pPr>
        <w:pStyle w:val="Default"/>
        <w:spacing w:before="240" w:line="360" w:lineRule="auto"/>
        <w:ind w:left="360"/>
        <w:jc w:val="both"/>
        <w:rPr>
          <w:rFonts w:ascii="Arial" w:hAnsi="Arial" w:cs="Arial"/>
          <w:color w:val="1F497D" w:themeColor="text2"/>
        </w:rPr>
      </w:pPr>
      <w:r w:rsidRPr="00E86B3A">
        <w:rPr>
          <w:rFonts w:ascii="Arial" w:hAnsi="Arial" w:cs="Arial"/>
          <w:color w:val="1F497D" w:themeColor="text2"/>
        </w:rPr>
        <w:t xml:space="preserve">• </w:t>
      </w:r>
      <w:proofErr w:type="gramStart"/>
      <w:r w:rsidRPr="00E86B3A">
        <w:rPr>
          <w:rFonts w:ascii="Arial" w:hAnsi="Arial" w:cs="Arial"/>
          <w:color w:val="1F497D" w:themeColor="text2"/>
        </w:rPr>
        <w:t>offer</w:t>
      </w:r>
      <w:proofErr w:type="gramEnd"/>
      <w:r w:rsidRPr="00E86B3A">
        <w:rPr>
          <w:rFonts w:ascii="Arial" w:hAnsi="Arial" w:cs="Arial"/>
          <w:color w:val="1F497D" w:themeColor="text2"/>
        </w:rPr>
        <w:t xml:space="preserve"> to transfer the P</w:t>
      </w:r>
      <w:r>
        <w:rPr>
          <w:rFonts w:ascii="Arial" w:hAnsi="Arial" w:cs="Arial"/>
          <w:color w:val="1F497D" w:themeColor="text2"/>
        </w:rPr>
        <w:t>ublic Open Space/Recreational Space to the Borough</w:t>
      </w:r>
      <w:r w:rsidRPr="00E86B3A">
        <w:rPr>
          <w:rFonts w:ascii="Arial" w:hAnsi="Arial" w:cs="Arial"/>
          <w:color w:val="1F497D" w:themeColor="text2"/>
        </w:rPr>
        <w:t xml:space="preserve"> Council or such other body nominate</w:t>
      </w:r>
      <w:r>
        <w:rPr>
          <w:rFonts w:ascii="Arial" w:hAnsi="Arial" w:cs="Arial"/>
          <w:color w:val="1F497D" w:themeColor="text2"/>
        </w:rPr>
        <w:t xml:space="preserve">d by the Borough </w:t>
      </w:r>
      <w:r w:rsidRPr="00E86B3A">
        <w:rPr>
          <w:rFonts w:ascii="Arial" w:hAnsi="Arial" w:cs="Arial"/>
          <w:color w:val="1F497D" w:themeColor="text2"/>
        </w:rPr>
        <w:t xml:space="preserve">Council; or; </w:t>
      </w:r>
    </w:p>
    <w:p w14:paraId="1A324BF5" w14:textId="77777777" w:rsidR="009E48DC" w:rsidRPr="00E86B3A" w:rsidRDefault="009E48DC" w:rsidP="009E48DC">
      <w:pPr>
        <w:pStyle w:val="Default"/>
        <w:spacing w:before="240" w:line="360" w:lineRule="auto"/>
        <w:ind w:left="360"/>
        <w:jc w:val="both"/>
        <w:rPr>
          <w:rFonts w:ascii="Arial" w:hAnsi="Arial" w:cs="Arial"/>
          <w:color w:val="1F497D" w:themeColor="text2"/>
        </w:rPr>
      </w:pPr>
      <w:r w:rsidRPr="00E86B3A">
        <w:rPr>
          <w:rFonts w:ascii="Arial" w:hAnsi="Arial" w:cs="Arial"/>
          <w:color w:val="1F497D" w:themeColor="text2"/>
        </w:rPr>
        <w:t>• transfer the Public Open Space</w:t>
      </w:r>
      <w:r>
        <w:rPr>
          <w:rFonts w:ascii="Arial" w:hAnsi="Arial" w:cs="Arial"/>
          <w:color w:val="1F497D" w:themeColor="text2"/>
        </w:rPr>
        <w:t xml:space="preserve">/Recreational Space </w:t>
      </w:r>
      <w:r w:rsidRPr="00E86B3A">
        <w:rPr>
          <w:rFonts w:ascii="Arial" w:hAnsi="Arial" w:cs="Arial"/>
          <w:color w:val="1F497D" w:themeColor="text2"/>
        </w:rPr>
        <w:t xml:space="preserve">to a Management Body. </w:t>
      </w:r>
    </w:p>
    <w:p w14:paraId="1698C282" w14:textId="77777777" w:rsidR="009E48DC" w:rsidRDefault="009E48DC" w:rsidP="009E48DC">
      <w:pPr>
        <w:pStyle w:val="ListParagraph"/>
        <w:rPr>
          <w:rFonts w:ascii="Arial" w:hAnsi="Arial" w:cs="Arial"/>
          <w:color w:val="1F497D" w:themeColor="text2"/>
        </w:rPr>
      </w:pPr>
    </w:p>
    <w:p w14:paraId="7D6ABA28" w14:textId="77777777" w:rsidR="00E86B3A" w:rsidRPr="009E48DC" w:rsidRDefault="00E86B3A" w:rsidP="009E48DC">
      <w:pPr>
        <w:pStyle w:val="Default"/>
        <w:numPr>
          <w:ilvl w:val="0"/>
          <w:numId w:val="1"/>
        </w:numPr>
        <w:spacing w:line="360" w:lineRule="auto"/>
        <w:jc w:val="both"/>
        <w:rPr>
          <w:rFonts w:ascii="Arial" w:hAnsi="Arial" w:cs="Arial"/>
          <w:color w:val="1F497D" w:themeColor="text2"/>
        </w:rPr>
      </w:pPr>
      <w:r w:rsidRPr="009E48DC">
        <w:rPr>
          <w:rFonts w:ascii="Arial" w:hAnsi="Arial" w:cs="Arial"/>
          <w:color w:val="1F497D" w:themeColor="text2"/>
        </w:rPr>
        <w:lastRenderedPageBreak/>
        <w:t>In the event that the Public Open Space</w:t>
      </w:r>
      <w:r w:rsidR="00B51D50" w:rsidRPr="009E48DC">
        <w:rPr>
          <w:rFonts w:ascii="Arial" w:hAnsi="Arial" w:cs="Arial"/>
          <w:color w:val="1F497D" w:themeColor="text2"/>
        </w:rPr>
        <w:t>/Recreational Space</w:t>
      </w:r>
      <w:r w:rsidRPr="009E48DC">
        <w:rPr>
          <w:rFonts w:ascii="Arial" w:hAnsi="Arial" w:cs="Arial"/>
          <w:color w:val="1F497D" w:themeColor="text2"/>
        </w:rPr>
        <w:t xml:space="preserve"> is transferred to the </w:t>
      </w:r>
      <w:r w:rsidR="00F26708">
        <w:rPr>
          <w:rFonts w:ascii="Arial" w:hAnsi="Arial" w:cs="Arial"/>
          <w:color w:val="1F497D" w:themeColor="text2"/>
        </w:rPr>
        <w:t>District</w:t>
      </w:r>
      <w:r w:rsidRPr="009E48DC">
        <w:rPr>
          <w:rFonts w:ascii="Arial" w:hAnsi="Arial" w:cs="Arial"/>
          <w:color w:val="1F497D" w:themeColor="text2"/>
        </w:rPr>
        <w:t xml:space="preserve"> Council, the Developer will pa</w:t>
      </w:r>
      <w:r w:rsidR="00DB578D" w:rsidRPr="009E48DC">
        <w:rPr>
          <w:rFonts w:ascii="Arial" w:hAnsi="Arial" w:cs="Arial"/>
          <w:color w:val="1F497D" w:themeColor="text2"/>
        </w:rPr>
        <w:t xml:space="preserve">y a commuted sum to the </w:t>
      </w:r>
      <w:r w:rsidR="00F26708">
        <w:rPr>
          <w:rFonts w:ascii="Arial" w:hAnsi="Arial" w:cs="Arial"/>
          <w:color w:val="1F497D" w:themeColor="text2"/>
        </w:rPr>
        <w:t>District</w:t>
      </w:r>
      <w:r w:rsidRPr="009E48DC">
        <w:rPr>
          <w:rFonts w:ascii="Arial" w:hAnsi="Arial" w:cs="Arial"/>
          <w:color w:val="1F497D" w:themeColor="text2"/>
        </w:rPr>
        <w:t xml:space="preserve"> Council for the future maintenance of the Public Open Space</w:t>
      </w:r>
      <w:r w:rsidR="00B51D50" w:rsidRPr="009E48DC">
        <w:rPr>
          <w:rFonts w:ascii="Arial" w:hAnsi="Arial" w:cs="Arial"/>
          <w:color w:val="1F497D" w:themeColor="text2"/>
        </w:rPr>
        <w:t>/Recreational Space</w:t>
      </w:r>
      <w:r w:rsidRPr="009E48DC">
        <w:rPr>
          <w:rFonts w:ascii="Arial" w:hAnsi="Arial" w:cs="Arial"/>
          <w:color w:val="1F497D" w:themeColor="text2"/>
        </w:rPr>
        <w:t>. In the event that the Public Open Space</w:t>
      </w:r>
      <w:r w:rsidR="00B51D50" w:rsidRPr="009E48DC">
        <w:rPr>
          <w:rFonts w:ascii="Arial" w:hAnsi="Arial" w:cs="Arial"/>
          <w:color w:val="1F497D" w:themeColor="text2"/>
        </w:rPr>
        <w:t>/Recreational Space</w:t>
      </w:r>
      <w:r w:rsidRPr="009E48DC">
        <w:rPr>
          <w:rFonts w:ascii="Arial" w:hAnsi="Arial" w:cs="Arial"/>
          <w:color w:val="1F497D" w:themeColor="text2"/>
        </w:rPr>
        <w:t xml:space="preserve"> is transferred to a Management Body it shall be on terms requiring the Public Open Space</w:t>
      </w:r>
      <w:r w:rsidR="00B51D50" w:rsidRPr="009E48DC">
        <w:rPr>
          <w:rFonts w:ascii="Arial" w:hAnsi="Arial" w:cs="Arial"/>
          <w:color w:val="1F497D" w:themeColor="text2"/>
        </w:rPr>
        <w:t>/Recreational Space</w:t>
      </w:r>
      <w:r w:rsidRPr="009E48DC">
        <w:rPr>
          <w:rFonts w:ascii="Arial" w:hAnsi="Arial" w:cs="Arial"/>
          <w:color w:val="1F497D" w:themeColor="text2"/>
        </w:rPr>
        <w:t xml:space="preserve"> to be managed and maintained in accordance with a Landscape Masterplan. </w:t>
      </w:r>
    </w:p>
    <w:p w14:paraId="027494EF" w14:textId="77777777" w:rsidR="00E86B3A" w:rsidRDefault="00E86B3A" w:rsidP="00E86B3A">
      <w:pPr>
        <w:pStyle w:val="Default"/>
        <w:ind w:left="360"/>
        <w:jc w:val="both"/>
        <w:rPr>
          <w:sz w:val="22"/>
          <w:szCs w:val="22"/>
        </w:rPr>
      </w:pPr>
    </w:p>
    <w:p w14:paraId="4D8246CD" w14:textId="77777777" w:rsidR="00754486" w:rsidRDefault="00754486" w:rsidP="00E86B3A">
      <w:pPr>
        <w:pStyle w:val="Default"/>
        <w:ind w:left="360"/>
        <w:jc w:val="both"/>
        <w:rPr>
          <w:rFonts w:ascii="Arial" w:hAnsi="Arial" w:cs="Arial"/>
          <w:b/>
          <w:color w:val="1F497D" w:themeColor="text2"/>
        </w:rPr>
      </w:pPr>
    </w:p>
    <w:p w14:paraId="19E3063C" w14:textId="77777777" w:rsidR="0080552B" w:rsidRPr="0080552B" w:rsidRDefault="0080552B" w:rsidP="00E86B3A">
      <w:pPr>
        <w:pStyle w:val="Default"/>
        <w:ind w:left="360"/>
        <w:jc w:val="both"/>
        <w:rPr>
          <w:rFonts w:ascii="Arial" w:hAnsi="Arial" w:cs="Arial"/>
          <w:b/>
          <w:color w:val="1F497D" w:themeColor="text2"/>
        </w:rPr>
      </w:pPr>
      <w:r w:rsidRPr="0080552B">
        <w:rPr>
          <w:rFonts w:ascii="Arial" w:hAnsi="Arial" w:cs="Arial"/>
          <w:b/>
          <w:color w:val="1F497D" w:themeColor="text2"/>
        </w:rPr>
        <w:t>Affordable Housing</w:t>
      </w:r>
    </w:p>
    <w:p w14:paraId="3572FB86" w14:textId="77777777" w:rsidR="0080552B" w:rsidRDefault="0080552B" w:rsidP="00E86B3A">
      <w:pPr>
        <w:pStyle w:val="Default"/>
        <w:ind w:left="360"/>
        <w:jc w:val="both"/>
        <w:rPr>
          <w:sz w:val="22"/>
          <w:szCs w:val="22"/>
        </w:rPr>
      </w:pPr>
    </w:p>
    <w:p w14:paraId="17280159" w14:textId="77777777" w:rsidR="00E86B3A" w:rsidRDefault="009E48DC" w:rsidP="00E86B3A">
      <w:pPr>
        <w:pStyle w:val="Default"/>
        <w:numPr>
          <w:ilvl w:val="0"/>
          <w:numId w:val="1"/>
        </w:numPr>
        <w:spacing w:line="360" w:lineRule="auto"/>
        <w:jc w:val="both"/>
        <w:rPr>
          <w:rFonts w:ascii="Arial" w:hAnsi="Arial" w:cs="Arial"/>
          <w:color w:val="1F497D" w:themeColor="text2"/>
        </w:rPr>
      </w:pPr>
      <w:r>
        <w:rPr>
          <w:rFonts w:ascii="Arial" w:hAnsi="Arial" w:cs="Arial"/>
          <w:color w:val="1F497D" w:themeColor="text2"/>
        </w:rPr>
        <w:t xml:space="preserve">A policy compliant </w:t>
      </w:r>
      <w:r w:rsidR="008672FF" w:rsidRPr="008672FF">
        <w:rPr>
          <w:rFonts w:ascii="Arial" w:hAnsi="Arial" w:cs="Arial"/>
          <w:color w:val="1F497D" w:themeColor="text2"/>
        </w:rPr>
        <w:t>%</w:t>
      </w:r>
      <w:r w:rsidR="009F6AEF" w:rsidRPr="008672FF">
        <w:rPr>
          <w:rFonts w:ascii="Arial" w:hAnsi="Arial" w:cs="Arial"/>
          <w:color w:val="1F497D" w:themeColor="text2"/>
        </w:rPr>
        <w:t xml:space="preserve"> of </w:t>
      </w:r>
      <w:r w:rsidR="009F6AEF" w:rsidRPr="00E86B3A">
        <w:rPr>
          <w:rFonts w:ascii="Arial" w:hAnsi="Arial" w:cs="Arial"/>
          <w:color w:val="1F497D" w:themeColor="text2"/>
        </w:rPr>
        <w:t>the new dwelling units shall be used exclusively for the purposes of “Affordable Housing” as defined by the National Planning Policy Framework.</w:t>
      </w:r>
    </w:p>
    <w:p w14:paraId="74C8799D" w14:textId="77777777" w:rsidR="003950AE" w:rsidRDefault="003950AE" w:rsidP="003950AE">
      <w:pPr>
        <w:pStyle w:val="Default"/>
        <w:spacing w:line="360" w:lineRule="auto"/>
        <w:ind w:left="360"/>
        <w:jc w:val="both"/>
        <w:rPr>
          <w:rFonts w:ascii="Arial" w:hAnsi="Arial" w:cs="Arial"/>
          <w:color w:val="1F497D" w:themeColor="text2"/>
        </w:rPr>
      </w:pPr>
    </w:p>
    <w:p w14:paraId="49EE6469" w14:textId="77777777" w:rsidR="009F6AEF" w:rsidRDefault="009F6AEF" w:rsidP="00E86B3A">
      <w:pPr>
        <w:pStyle w:val="Default"/>
        <w:numPr>
          <w:ilvl w:val="0"/>
          <w:numId w:val="1"/>
        </w:numPr>
        <w:spacing w:line="360" w:lineRule="auto"/>
        <w:jc w:val="both"/>
        <w:rPr>
          <w:rFonts w:ascii="Arial" w:hAnsi="Arial" w:cs="Arial"/>
          <w:color w:val="1F497D" w:themeColor="text2"/>
        </w:rPr>
      </w:pPr>
      <w:r w:rsidRPr="00E86B3A">
        <w:rPr>
          <w:rFonts w:ascii="Arial" w:hAnsi="Arial" w:cs="Arial"/>
          <w:color w:val="1F497D" w:themeColor="text2"/>
        </w:rPr>
        <w:t>The Affordable Units will consist of a range of dwelling types</w:t>
      </w:r>
      <w:r w:rsidR="003950AE">
        <w:rPr>
          <w:rFonts w:ascii="Arial" w:hAnsi="Arial" w:cs="Arial"/>
          <w:color w:val="1F497D" w:themeColor="text2"/>
        </w:rPr>
        <w:t>, tenures,</w:t>
      </w:r>
      <w:r w:rsidRPr="00E86B3A">
        <w:rPr>
          <w:rFonts w:ascii="Arial" w:hAnsi="Arial" w:cs="Arial"/>
          <w:color w:val="1F497D" w:themeColor="text2"/>
        </w:rPr>
        <w:t xml:space="preserve"> and sizes to be agreed. </w:t>
      </w:r>
    </w:p>
    <w:p w14:paraId="598EEB08" w14:textId="77777777" w:rsidR="00E86B3A" w:rsidRDefault="00E86B3A" w:rsidP="00E86B3A">
      <w:pPr>
        <w:pStyle w:val="ListParagraph"/>
        <w:rPr>
          <w:rFonts w:ascii="Arial" w:hAnsi="Arial" w:cs="Arial"/>
          <w:color w:val="1F497D" w:themeColor="text2"/>
        </w:rPr>
      </w:pPr>
    </w:p>
    <w:p w14:paraId="5ADB7868" w14:textId="71751582" w:rsidR="00E86B3A" w:rsidRDefault="00D22587" w:rsidP="00E86B3A">
      <w:pPr>
        <w:pStyle w:val="Default"/>
        <w:numPr>
          <w:ilvl w:val="0"/>
          <w:numId w:val="1"/>
        </w:numPr>
        <w:spacing w:line="360" w:lineRule="auto"/>
        <w:jc w:val="both"/>
        <w:rPr>
          <w:rFonts w:ascii="Arial" w:hAnsi="Arial" w:cs="Arial"/>
          <w:color w:val="1F497D" w:themeColor="text2"/>
        </w:rPr>
      </w:pPr>
      <w:r>
        <w:rPr>
          <w:rFonts w:ascii="Arial" w:hAnsi="Arial" w:cs="Arial"/>
          <w:color w:val="1F497D" w:themeColor="text2"/>
        </w:rPr>
        <w:t>The Developer shall use</w:t>
      </w:r>
      <w:r w:rsidR="009F6AEF" w:rsidRPr="00E86B3A">
        <w:rPr>
          <w:rFonts w:ascii="Arial" w:hAnsi="Arial" w:cs="Arial"/>
          <w:color w:val="1F497D" w:themeColor="text2"/>
        </w:rPr>
        <w:t xml:space="preserve"> reasonable endeavours to ensure that the Affordable Housing Units shall be constructed contemporaneously with the Market Housing </w:t>
      </w:r>
      <w:r w:rsidR="00DB578D">
        <w:rPr>
          <w:rFonts w:ascii="Arial" w:hAnsi="Arial" w:cs="Arial"/>
          <w:color w:val="1F497D" w:themeColor="text2"/>
        </w:rPr>
        <w:t xml:space="preserve">save </w:t>
      </w:r>
      <w:r w:rsidR="009F6AEF" w:rsidRPr="00E86B3A">
        <w:rPr>
          <w:rFonts w:ascii="Arial" w:hAnsi="Arial" w:cs="Arial"/>
          <w:color w:val="1F497D" w:themeColor="text2"/>
        </w:rPr>
        <w:t>where non provision of the entirety of the Affordable Housing is not due to the demonstrable fault of the Developer.</w:t>
      </w:r>
    </w:p>
    <w:p w14:paraId="30A71A34" w14:textId="77777777" w:rsidR="00E86B3A" w:rsidRDefault="00E86B3A" w:rsidP="00E86B3A">
      <w:pPr>
        <w:pStyle w:val="ListParagraph"/>
        <w:rPr>
          <w:rFonts w:ascii="Arial" w:hAnsi="Arial" w:cs="Arial"/>
          <w:color w:val="1F497D" w:themeColor="text2"/>
        </w:rPr>
      </w:pPr>
    </w:p>
    <w:p w14:paraId="15A5105D" w14:textId="77777777" w:rsidR="006A3709" w:rsidRDefault="009F6AEF" w:rsidP="00E86B3A">
      <w:pPr>
        <w:pStyle w:val="Default"/>
        <w:numPr>
          <w:ilvl w:val="0"/>
          <w:numId w:val="1"/>
        </w:numPr>
        <w:spacing w:line="360" w:lineRule="auto"/>
        <w:jc w:val="both"/>
        <w:rPr>
          <w:rFonts w:ascii="Arial" w:hAnsi="Arial" w:cs="Arial"/>
          <w:color w:val="1F497D" w:themeColor="text2"/>
        </w:rPr>
      </w:pPr>
      <w:r w:rsidRPr="00E86B3A">
        <w:rPr>
          <w:rFonts w:ascii="Arial" w:hAnsi="Arial" w:cs="Arial"/>
          <w:color w:val="1F497D" w:themeColor="text2"/>
        </w:rPr>
        <w:t xml:space="preserve"> The Affordable Housing shall be </w:t>
      </w:r>
      <w:r w:rsidR="009E48DC">
        <w:rPr>
          <w:rFonts w:ascii="Arial" w:hAnsi="Arial" w:cs="Arial"/>
          <w:color w:val="1F497D" w:themeColor="text2"/>
        </w:rPr>
        <w:t>designed and constructed to no less a standard than and be visually indistinguishable from the market housing.</w:t>
      </w:r>
    </w:p>
    <w:p w14:paraId="78718098" w14:textId="77777777" w:rsidR="006A3709" w:rsidRDefault="006A3709" w:rsidP="006A3709">
      <w:pPr>
        <w:rPr>
          <w:rFonts w:ascii="Arial" w:hAnsi="Arial" w:cs="Arial"/>
          <w:color w:val="1F497D" w:themeColor="text2"/>
        </w:rPr>
      </w:pPr>
    </w:p>
    <w:p w14:paraId="355F4BFE" w14:textId="77777777" w:rsidR="006A3709" w:rsidRPr="006A3709" w:rsidRDefault="006A3709" w:rsidP="006A3709">
      <w:pPr>
        <w:ind w:left="360"/>
        <w:rPr>
          <w:rFonts w:ascii="Arial" w:hAnsi="Arial" w:cs="Arial"/>
          <w:b/>
          <w:bCs/>
          <w:color w:val="1F497D" w:themeColor="text2"/>
          <w:sz w:val="24"/>
          <w:szCs w:val="24"/>
        </w:rPr>
      </w:pPr>
      <w:r w:rsidRPr="006A3709">
        <w:rPr>
          <w:rFonts w:ascii="Arial" w:hAnsi="Arial" w:cs="Arial"/>
          <w:b/>
          <w:bCs/>
          <w:color w:val="1F497D" w:themeColor="text2"/>
          <w:sz w:val="24"/>
          <w:szCs w:val="24"/>
        </w:rPr>
        <w:t>Education</w:t>
      </w:r>
    </w:p>
    <w:p w14:paraId="23F32405" w14:textId="77777777" w:rsidR="006A3709" w:rsidRDefault="006A3709" w:rsidP="006A3709">
      <w:pPr>
        <w:pStyle w:val="Default"/>
        <w:numPr>
          <w:ilvl w:val="0"/>
          <w:numId w:val="1"/>
        </w:numPr>
        <w:spacing w:line="360" w:lineRule="auto"/>
        <w:jc w:val="both"/>
        <w:rPr>
          <w:rFonts w:ascii="Arial" w:hAnsi="Arial" w:cs="Arial"/>
          <w:color w:val="1F497D" w:themeColor="text2"/>
        </w:rPr>
      </w:pPr>
      <w:r w:rsidRPr="00BF2E09">
        <w:rPr>
          <w:rFonts w:ascii="Arial" w:hAnsi="Arial" w:cs="Arial"/>
          <w:color w:val="1F497D" w:themeColor="text2"/>
        </w:rPr>
        <w:t>The Developer will make such contribution as can be lawfully justified under the CIL Regulations to meet the capital costs of any additional capacity required to accommodate the educational needs of future occupiers of the development</w:t>
      </w:r>
      <w:r>
        <w:rPr>
          <w:rFonts w:ascii="Arial" w:hAnsi="Arial" w:cs="Arial"/>
          <w:color w:val="1F497D" w:themeColor="text2"/>
        </w:rPr>
        <w:t>.</w:t>
      </w:r>
    </w:p>
    <w:p w14:paraId="41B99800" w14:textId="77777777" w:rsidR="006A3709" w:rsidRDefault="006A3709" w:rsidP="006A3709">
      <w:pPr>
        <w:pStyle w:val="Default"/>
        <w:spacing w:line="360" w:lineRule="auto"/>
        <w:ind w:left="360"/>
        <w:jc w:val="both"/>
        <w:rPr>
          <w:rFonts w:ascii="Arial" w:hAnsi="Arial" w:cs="Arial"/>
          <w:color w:val="1F497D" w:themeColor="text2"/>
        </w:rPr>
      </w:pPr>
    </w:p>
    <w:p w14:paraId="08091D15" w14:textId="77777777" w:rsidR="006A3709" w:rsidRPr="006A3709" w:rsidRDefault="006A3709" w:rsidP="006A3709">
      <w:pPr>
        <w:pStyle w:val="Default"/>
        <w:spacing w:line="360" w:lineRule="auto"/>
        <w:ind w:left="360"/>
        <w:jc w:val="both"/>
        <w:rPr>
          <w:rFonts w:ascii="Arial" w:hAnsi="Arial" w:cs="Arial"/>
          <w:b/>
          <w:bCs/>
          <w:color w:val="1F497D" w:themeColor="text2"/>
        </w:rPr>
      </w:pPr>
      <w:r w:rsidRPr="006A3709">
        <w:rPr>
          <w:rFonts w:ascii="Arial" w:hAnsi="Arial" w:cs="Arial"/>
          <w:b/>
          <w:bCs/>
          <w:color w:val="1F497D" w:themeColor="text2"/>
        </w:rPr>
        <w:t>Severn Estuary Mitigation Strategy</w:t>
      </w:r>
    </w:p>
    <w:p w14:paraId="60AD6360" w14:textId="77777777" w:rsidR="006A3709" w:rsidRPr="00BF2E09" w:rsidRDefault="006A3709" w:rsidP="006A3709">
      <w:pPr>
        <w:pStyle w:val="Default"/>
        <w:spacing w:line="360" w:lineRule="auto"/>
        <w:ind w:left="360"/>
        <w:jc w:val="both"/>
        <w:rPr>
          <w:rFonts w:ascii="Arial" w:hAnsi="Arial" w:cs="Arial"/>
          <w:color w:val="1F497D" w:themeColor="text2"/>
        </w:rPr>
      </w:pPr>
    </w:p>
    <w:p w14:paraId="76CA5547" w14:textId="4B76D564" w:rsidR="009F6AEF" w:rsidRDefault="006A3709" w:rsidP="00E86B3A">
      <w:pPr>
        <w:pStyle w:val="Default"/>
        <w:numPr>
          <w:ilvl w:val="0"/>
          <w:numId w:val="1"/>
        </w:numPr>
        <w:spacing w:line="360" w:lineRule="auto"/>
        <w:jc w:val="both"/>
        <w:rPr>
          <w:rFonts w:ascii="Arial" w:hAnsi="Arial" w:cs="Arial"/>
          <w:color w:val="1F497D" w:themeColor="text2"/>
        </w:rPr>
      </w:pPr>
      <w:r>
        <w:rPr>
          <w:rFonts w:ascii="Arial" w:hAnsi="Arial" w:cs="Arial"/>
          <w:color w:val="1F497D" w:themeColor="text2"/>
        </w:rPr>
        <w:lastRenderedPageBreak/>
        <w:t xml:space="preserve"> The developer will</w:t>
      </w:r>
      <w:r w:rsidR="00586719">
        <w:rPr>
          <w:rFonts w:ascii="Arial" w:hAnsi="Arial" w:cs="Arial"/>
          <w:color w:val="1F497D" w:themeColor="text2"/>
        </w:rPr>
        <w:t xml:space="preserve">, if necessary, </w:t>
      </w:r>
      <w:r w:rsidR="00D240FC">
        <w:rPr>
          <w:rFonts w:ascii="Arial" w:hAnsi="Arial" w:cs="Arial"/>
          <w:color w:val="1F497D" w:themeColor="text2"/>
        </w:rPr>
        <w:t>make a contribution</w:t>
      </w:r>
      <w:r w:rsidR="003950AE">
        <w:rPr>
          <w:rFonts w:ascii="Arial" w:hAnsi="Arial" w:cs="Arial"/>
          <w:color w:val="1F497D" w:themeColor="text2"/>
        </w:rPr>
        <w:t xml:space="preserve"> </w:t>
      </w:r>
      <w:r>
        <w:rPr>
          <w:rFonts w:ascii="Arial" w:hAnsi="Arial" w:cs="Arial"/>
          <w:iCs/>
          <w:color w:val="1F497D" w:themeColor="text2"/>
        </w:rPr>
        <w:t>pursuant to the Council's adopted Strategy for the Avoidance of Likely Significant Adverse Effects on the Severn Estuary SAC</w:t>
      </w:r>
    </w:p>
    <w:p w14:paraId="4B368B37" w14:textId="77777777" w:rsidR="009E48DC" w:rsidRPr="009E48DC" w:rsidRDefault="009E48DC" w:rsidP="009E48DC">
      <w:pPr>
        <w:pStyle w:val="Default"/>
        <w:spacing w:line="360" w:lineRule="auto"/>
        <w:ind w:left="360"/>
        <w:jc w:val="both"/>
        <w:rPr>
          <w:rFonts w:ascii="Arial" w:hAnsi="Arial" w:cs="Arial"/>
          <w:b/>
          <w:color w:val="1F497D" w:themeColor="text2"/>
        </w:rPr>
      </w:pPr>
      <w:r w:rsidRPr="009E48DC">
        <w:rPr>
          <w:rFonts w:ascii="Arial" w:hAnsi="Arial" w:cs="Arial"/>
          <w:b/>
          <w:color w:val="1F497D" w:themeColor="text2"/>
        </w:rPr>
        <w:t>Legal Costs</w:t>
      </w:r>
    </w:p>
    <w:p w14:paraId="068791BA" w14:textId="77777777" w:rsidR="009E48DC" w:rsidRDefault="009E48DC" w:rsidP="009E48DC">
      <w:pPr>
        <w:pStyle w:val="ListParagraph"/>
        <w:rPr>
          <w:rFonts w:ascii="Arial" w:hAnsi="Arial" w:cs="Arial"/>
          <w:color w:val="1F497D" w:themeColor="text2"/>
        </w:rPr>
      </w:pPr>
    </w:p>
    <w:p w14:paraId="19EE50C2" w14:textId="77777777" w:rsidR="00222369" w:rsidRPr="009E48DC" w:rsidRDefault="009E48DC" w:rsidP="009E48DC">
      <w:pPr>
        <w:pStyle w:val="Default"/>
        <w:numPr>
          <w:ilvl w:val="0"/>
          <w:numId w:val="1"/>
        </w:numPr>
        <w:spacing w:line="360" w:lineRule="auto"/>
        <w:jc w:val="both"/>
        <w:rPr>
          <w:rFonts w:ascii="Arial" w:hAnsi="Arial" w:cs="Arial"/>
          <w:color w:val="1F497D" w:themeColor="text2"/>
        </w:rPr>
      </w:pPr>
      <w:r w:rsidRPr="009E48DC">
        <w:rPr>
          <w:rFonts w:ascii="Arial" w:hAnsi="Arial" w:cs="Arial"/>
          <w:color w:val="1F497D" w:themeColor="text2"/>
        </w:rPr>
        <w:t xml:space="preserve">The Developer shall pay to the </w:t>
      </w:r>
      <w:r w:rsidR="00F26708">
        <w:rPr>
          <w:rFonts w:ascii="Arial" w:hAnsi="Arial" w:cs="Arial"/>
          <w:color w:val="1F497D" w:themeColor="text2"/>
        </w:rPr>
        <w:t>District</w:t>
      </w:r>
      <w:r w:rsidRPr="009E48DC">
        <w:rPr>
          <w:rFonts w:ascii="Arial" w:hAnsi="Arial" w:cs="Arial"/>
          <w:color w:val="1F497D" w:themeColor="text2"/>
        </w:rPr>
        <w:t xml:space="preserve"> Council on or before the completion of the Agreement their reasonable legal costs in connection with the preparation and completion of the Agreement.</w:t>
      </w:r>
    </w:p>
    <w:p w14:paraId="669CE131" w14:textId="77777777" w:rsidR="00CD6A74" w:rsidRDefault="00CD6A74" w:rsidP="00CD6A74">
      <w:pPr>
        <w:spacing w:line="360" w:lineRule="auto"/>
        <w:ind w:firstLine="720"/>
        <w:jc w:val="both"/>
        <w:rPr>
          <w:rFonts w:ascii="Arial" w:hAnsi="Arial" w:cs="Arial"/>
          <w:color w:val="1F497D" w:themeColor="text2"/>
          <w:sz w:val="24"/>
          <w:szCs w:val="24"/>
          <w:u w:val="single"/>
        </w:rPr>
      </w:pPr>
    </w:p>
    <w:p w14:paraId="2B77EFEA" w14:textId="77777777" w:rsidR="00B14DE6" w:rsidRDefault="00B14DE6" w:rsidP="00B14DE6">
      <w:pPr>
        <w:pStyle w:val="Default"/>
        <w:spacing w:line="360" w:lineRule="auto"/>
        <w:ind w:left="720"/>
        <w:jc w:val="both"/>
        <w:rPr>
          <w:rFonts w:ascii="Arial" w:hAnsi="Arial" w:cs="Arial"/>
          <w:b/>
          <w:color w:val="1F497D" w:themeColor="text2"/>
        </w:rPr>
      </w:pPr>
    </w:p>
    <w:p w14:paraId="333BB90D" w14:textId="77777777" w:rsidR="0080552B" w:rsidRDefault="0080552B" w:rsidP="00222369">
      <w:pPr>
        <w:pStyle w:val="Default"/>
        <w:spacing w:line="360" w:lineRule="auto"/>
        <w:rPr>
          <w:rFonts w:ascii="Arial" w:hAnsi="Arial" w:cs="Arial"/>
          <w:color w:val="1F497D" w:themeColor="text2"/>
        </w:rPr>
      </w:pPr>
    </w:p>
    <w:sectPr w:rsidR="0080552B" w:rsidSect="00A300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7C20" w14:textId="77777777" w:rsidR="0027743D" w:rsidRDefault="0027743D" w:rsidP="0027743D">
      <w:pPr>
        <w:spacing w:after="0" w:line="240" w:lineRule="auto"/>
      </w:pPr>
      <w:r>
        <w:separator/>
      </w:r>
    </w:p>
  </w:endnote>
  <w:endnote w:type="continuationSeparator" w:id="0">
    <w:p w14:paraId="1022C136" w14:textId="77777777" w:rsidR="0027743D" w:rsidRDefault="0027743D" w:rsidP="0027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7A68" w14:textId="77777777" w:rsidR="0027743D" w:rsidRDefault="00F26708" w:rsidP="0027743D">
    <w:pPr>
      <w:pStyle w:val="Footer"/>
      <w:jc w:val="right"/>
    </w:pPr>
    <w:r>
      <w:t>J</w:t>
    </w:r>
    <w:r w:rsidR="006A3709">
      <w:t>une</w:t>
    </w:r>
    <w:r w:rsidR="00FF4224">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6BDC" w14:textId="77777777" w:rsidR="0027743D" w:rsidRDefault="0027743D" w:rsidP="0027743D">
      <w:pPr>
        <w:spacing w:after="0" w:line="240" w:lineRule="auto"/>
      </w:pPr>
      <w:r>
        <w:separator/>
      </w:r>
    </w:p>
  </w:footnote>
  <w:footnote w:type="continuationSeparator" w:id="0">
    <w:p w14:paraId="340358E3" w14:textId="77777777" w:rsidR="0027743D" w:rsidRDefault="0027743D" w:rsidP="0027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C1E"/>
    <w:multiLevelType w:val="hybridMultilevel"/>
    <w:tmpl w:val="6442B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CC5593"/>
    <w:multiLevelType w:val="hybridMultilevel"/>
    <w:tmpl w:val="7B562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E6573C1"/>
    <w:multiLevelType w:val="hybridMultilevel"/>
    <w:tmpl w:val="74A68A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517A7C"/>
    <w:multiLevelType w:val="hybridMultilevel"/>
    <w:tmpl w:val="81D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96595"/>
    <w:multiLevelType w:val="hybridMultilevel"/>
    <w:tmpl w:val="88A82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F"/>
    <w:rsid w:val="000175FF"/>
    <w:rsid w:val="000B7814"/>
    <w:rsid w:val="00126BBC"/>
    <w:rsid w:val="00197BE5"/>
    <w:rsid w:val="001B11EE"/>
    <w:rsid w:val="001C2F91"/>
    <w:rsid w:val="00222369"/>
    <w:rsid w:val="0027743D"/>
    <w:rsid w:val="002F5DDD"/>
    <w:rsid w:val="0030498B"/>
    <w:rsid w:val="0031646F"/>
    <w:rsid w:val="00323671"/>
    <w:rsid w:val="0038641B"/>
    <w:rsid w:val="003950AE"/>
    <w:rsid w:val="00486A55"/>
    <w:rsid w:val="004E7C1D"/>
    <w:rsid w:val="004F146D"/>
    <w:rsid w:val="00556A8F"/>
    <w:rsid w:val="00586719"/>
    <w:rsid w:val="005D1A12"/>
    <w:rsid w:val="00672AF4"/>
    <w:rsid w:val="006A3709"/>
    <w:rsid w:val="006F1957"/>
    <w:rsid w:val="00726AE5"/>
    <w:rsid w:val="00754486"/>
    <w:rsid w:val="0078391B"/>
    <w:rsid w:val="007A30A2"/>
    <w:rsid w:val="007F483D"/>
    <w:rsid w:val="0080552B"/>
    <w:rsid w:val="0083090A"/>
    <w:rsid w:val="008672FF"/>
    <w:rsid w:val="00926120"/>
    <w:rsid w:val="009E48DC"/>
    <w:rsid w:val="009F6AEF"/>
    <w:rsid w:val="00A21203"/>
    <w:rsid w:val="00A300D5"/>
    <w:rsid w:val="00B13A7D"/>
    <w:rsid w:val="00B14DE6"/>
    <w:rsid w:val="00B51D50"/>
    <w:rsid w:val="00C10FAA"/>
    <w:rsid w:val="00C20BB8"/>
    <w:rsid w:val="00C51E95"/>
    <w:rsid w:val="00CD24DA"/>
    <w:rsid w:val="00CD6A74"/>
    <w:rsid w:val="00D0482E"/>
    <w:rsid w:val="00D22587"/>
    <w:rsid w:val="00D240FC"/>
    <w:rsid w:val="00D41E65"/>
    <w:rsid w:val="00D5378D"/>
    <w:rsid w:val="00D97A40"/>
    <w:rsid w:val="00DB578D"/>
    <w:rsid w:val="00DF50C1"/>
    <w:rsid w:val="00E50FD7"/>
    <w:rsid w:val="00E60E66"/>
    <w:rsid w:val="00E84AF2"/>
    <w:rsid w:val="00E86B3A"/>
    <w:rsid w:val="00F01C9F"/>
    <w:rsid w:val="00F26708"/>
    <w:rsid w:val="00FB355E"/>
    <w:rsid w:val="00FF4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3F06"/>
  <w15:docId w15:val="{DC001E4A-48F4-48DF-8E05-D0A116D8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AE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F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EF"/>
    <w:rPr>
      <w:rFonts w:ascii="Tahoma" w:eastAsia="Calibri" w:hAnsi="Tahoma" w:cs="Tahoma"/>
      <w:sz w:val="16"/>
      <w:szCs w:val="16"/>
    </w:rPr>
  </w:style>
  <w:style w:type="paragraph" w:styleId="ListParagraph">
    <w:name w:val="List Paragraph"/>
    <w:basedOn w:val="Normal"/>
    <w:uiPriority w:val="34"/>
    <w:qFormat/>
    <w:rsid w:val="00E86B3A"/>
    <w:pPr>
      <w:ind w:left="720"/>
      <w:contextualSpacing/>
    </w:pPr>
  </w:style>
  <w:style w:type="paragraph" w:styleId="Header">
    <w:name w:val="header"/>
    <w:basedOn w:val="Normal"/>
    <w:link w:val="HeaderChar"/>
    <w:uiPriority w:val="99"/>
    <w:unhideWhenUsed/>
    <w:rsid w:val="0027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3D"/>
    <w:rPr>
      <w:rFonts w:ascii="Calibri" w:eastAsia="Calibri" w:hAnsi="Calibri" w:cs="Times New Roman"/>
    </w:rPr>
  </w:style>
  <w:style w:type="paragraph" w:styleId="Footer">
    <w:name w:val="footer"/>
    <w:basedOn w:val="Normal"/>
    <w:link w:val="FooterChar"/>
    <w:uiPriority w:val="99"/>
    <w:unhideWhenUsed/>
    <w:rsid w:val="0027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3D"/>
    <w:rPr>
      <w:rFonts w:ascii="Calibri" w:eastAsia="Calibri" w:hAnsi="Calibri" w:cs="Times New Roman"/>
    </w:rPr>
  </w:style>
  <w:style w:type="paragraph" w:styleId="FootnoteText">
    <w:name w:val="footnote text"/>
    <w:basedOn w:val="Normal"/>
    <w:link w:val="FootnoteTextChar"/>
    <w:uiPriority w:val="99"/>
    <w:semiHidden/>
    <w:unhideWhenUsed/>
    <w:rsid w:val="006A37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70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A3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6141">
      <w:bodyDiv w:val="1"/>
      <w:marLeft w:val="0"/>
      <w:marRight w:val="0"/>
      <w:marTop w:val="0"/>
      <w:marBottom w:val="0"/>
      <w:divBdr>
        <w:top w:val="none" w:sz="0" w:space="0" w:color="auto"/>
        <w:left w:val="none" w:sz="0" w:space="0" w:color="auto"/>
        <w:bottom w:val="none" w:sz="0" w:space="0" w:color="auto"/>
        <w:right w:val="none" w:sz="0" w:space="0" w:color="auto"/>
      </w:divBdr>
    </w:div>
    <w:div w:id="526065235">
      <w:bodyDiv w:val="1"/>
      <w:marLeft w:val="0"/>
      <w:marRight w:val="0"/>
      <w:marTop w:val="0"/>
      <w:marBottom w:val="0"/>
      <w:divBdr>
        <w:top w:val="none" w:sz="0" w:space="0" w:color="auto"/>
        <w:left w:val="none" w:sz="0" w:space="0" w:color="auto"/>
        <w:bottom w:val="none" w:sz="0" w:space="0" w:color="auto"/>
        <w:right w:val="none" w:sz="0" w:space="0" w:color="auto"/>
      </w:divBdr>
    </w:div>
    <w:div w:id="13846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Hardwick</dc:creator>
  <cp:lastModifiedBy>MacDougall, Dominic</cp:lastModifiedBy>
  <cp:revision>2</cp:revision>
  <cp:lastPrinted>2019-01-23T13:49:00Z</cp:lastPrinted>
  <dcterms:created xsi:type="dcterms:W3CDTF">2021-06-18T09:00:00Z</dcterms:created>
  <dcterms:modified xsi:type="dcterms:W3CDTF">2021-06-18T09:00:00Z</dcterms:modified>
</cp:coreProperties>
</file>