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45F9C" w14:textId="77777777" w:rsidR="008E290F" w:rsidRDefault="008E290F"/>
    <w:p w14:paraId="747493D9" w14:textId="77777777" w:rsidR="009A6D00" w:rsidRPr="00092CC2" w:rsidRDefault="009A6D00" w:rsidP="009A6D00">
      <w:pPr>
        <w:rPr>
          <w:rFonts w:ascii="Arial" w:hAnsi="Arial" w:cs="Arial"/>
          <w:b/>
          <w:color w:val="003300"/>
          <w:sz w:val="24"/>
          <w:szCs w:val="56"/>
        </w:rPr>
      </w:pPr>
      <w:r w:rsidRPr="00092CC2">
        <w:rPr>
          <w:rFonts w:ascii="Arial" w:hAnsi="Arial" w:cs="Arial"/>
          <w:b/>
          <w:color w:val="003300"/>
          <w:sz w:val="24"/>
          <w:szCs w:val="56"/>
        </w:rPr>
        <w:t xml:space="preserve">Persimmon Homes Severn Valley </w:t>
      </w:r>
    </w:p>
    <w:p w14:paraId="3758E42B" w14:textId="77777777" w:rsidR="009A6D00" w:rsidRPr="00092CC2" w:rsidRDefault="009A6D00" w:rsidP="009A6D00">
      <w:pPr>
        <w:rPr>
          <w:b/>
          <w:color w:val="003300"/>
          <w:szCs w:val="56"/>
        </w:rPr>
      </w:pPr>
    </w:p>
    <w:p w14:paraId="683614AB" w14:textId="77777777" w:rsidR="009A6D00" w:rsidRDefault="009A6D00" w:rsidP="009A6D00">
      <w:pPr>
        <w:rPr>
          <w:b/>
          <w:color w:val="003300"/>
          <w:sz w:val="56"/>
          <w:szCs w:val="56"/>
        </w:rPr>
      </w:pPr>
    </w:p>
    <w:p w14:paraId="7DC3D629" w14:textId="77777777" w:rsidR="009A6D00" w:rsidRDefault="009A6D00" w:rsidP="009A6D00">
      <w:pPr>
        <w:rPr>
          <w:b/>
          <w:color w:val="003300"/>
          <w:sz w:val="56"/>
          <w:szCs w:val="56"/>
        </w:rPr>
      </w:pPr>
    </w:p>
    <w:p w14:paraId="5CFBCE44" w14:textId="77777777" w:rsidR="009A6D00" w:rsidRDefault="009A6D00" w:rsidP="009A6D00">
      <w:pPr>
        <w:rPr>
          <w:b/>
          <w:color w:val="003300"/>
          <w:sz w:val="56"/>
          <w:szCs w:val="56"/>
        </w:rPr>
      </w:pPr>
    </w:p>
    <w:p w14:paraId="4324EBC8" w14:textId="77777777" w:rsidR="009A6D00" w:rsidRDefault="009A6D00" w:rsidP="009A6D00">
      <w:pPr>
        <w:rPr>
          <w:b/>
          <w:color w:val="003300"/>
          <w:sz w:val="56"/>
          <w:szCs w:val="56"/>
        </w:rPr>
      </w:pPr>
    </w:p>
    <w:p w14:paraId="7A7632C4" w14:textId="24CAF354" w:rsidR="009A6D00" w:rsidRPr="00092CC2" w:rsidRDefault="00386122" w:rsidP="009A6D00">
      <w:pPr>
        <w:rPr>
          <w:rFonts w:ascii="Arial" w:hAnsi="Arial" w:cs="Arial"/>
          <w:b/>
          <w:color w:val="003300"/>
          <w:sz w:val="56"/>
          <w:szCs w:val="56"/>
        </w:rPr>
      </w:pPr>
      <w:r>
        <w:rPr>
          <w:rFonts w:ascii="Arial" w:hAnsi="Arial" w:cs="Arial"/>
          <w:b/>
          <w:color w:val="003300"/>
          <w:sz w:val="56"/>
          <w:szCs w:val="56"/>
        </w:rPr>
        <w:t>Affordable Housing Statement</w:t>
      </w:r>
    </w:p>
    <w:p w14:paraId="2386849D" w14:textId="77777777" w:rsidR="009A6D00" w:rsidRPr="00092CC2" w:rsidRDefault="009A6D00" w:rsidP="009A6D00">
      <w:pPr>
        <w:rPr>
          <w:rFonts w:ascii="Arial" w:hAnsi="Arial" w:cs="Arial"/>
        </w:rPr>
      </w:pPr>
    </w:p>
    <w:p w14:paraId="7A9A34CD" w14:textId="77777777" w:rsidR="009A6D00" w:rsidRPr="00092CC2" w:rsidRDefault="009A6D00" w:rsidP="009A6D00">
      <w:pPr>
        <w:rPr>
          <w:rFonts w:ascii="Arial" w:hAnsi="Arial" w:cs="Arial"/>
        </w:rPr>
      </w:pPr>
    </w:p>
    <w:p w14:paraId="08E89E67" w14:textId="5EC1902D" w:rsidR="009A6D00" w:rsidRPr="00092CC2" w:rsidRDefault="003A119F" w:rsidP="009A6D00">
      <w:pPr>
        <w:rPr>
          <w:rFonts w:ascii="Arial" w:hAnsi="Arial" w:cs="Arial"/>
          <w:sz w:val="44"/>
          <w:szCs w:val="48"/>
        </w:rPr>
      </w:pPr>
      <w:r>
        <w:rPr>
          <w:rFonts w:ascii="Arial" w:hAnsi="Arial" w:cs="Arial"/>
          <w:sz w:val="44"/>
          <w:szCs w:val="48"/>
        </w:rPr>
        <w:t xml:space="preserve">Land at </w:t>
      </w:r>
      <w:proofErr w:type="spellStart"/>
      <w:r w:rsidR="00147C30">
        <w:rPr>
          <w:rFonts w:ascii="Arial" w:hAnsi="Arial" w:cs="Arial"/>
          <w:sz w:val="44"/>
          <w:szCs w:val="48"/>
        </w:rPr>
        <w:t>Dra</w:t>
      </w:r>
      <w:r w:rsidR="00D9223B">
        <w:rPr>
          <w:rFonts w:ascii="Arial" w:hAnsi="Arial" w:cs="Arial"/>
          <w:sz w:val="44"/>
          <w:szCs w:val="48"/>
        </w:rPr>
        <w:t>y</w:t>
      </w:r>
      <w:r w:rsidR="00147C30">
        <w:rPr>
          <w:rFonts w:ascii="Arial" w:hAnsi="Arial" w:cs="Arial"/>
          <w:sz w:val="44"/>
          <w:szCs w:val="48"/>
        </w:rPr>
        <w:t>cott</w:t>
      </w:r>
      <w:proofErr w:type="spellEnd"/>
      <w:r w:rsidR="009A6D00" w:rsidRPr="00092CC2">
        <w:rPr>
          <w:rFonts w:ascii="Arial" w:hAnsi="Arial" w:cs="Arial"/>
          <w:sz w:val="44"/>
          <w:szCs w:val="48"/>
        </w:rPr>
        <w:t xml:space="preserve">, </w:t>
      </w:r>
      <w:r w:rsidR="00147C30">
        <w:rPr>
          <w:rFonts w:ascii="Arial" w:hAnsi="Arial" w:cs="Arial"/>
          <w:sz w:val="44"/>
          <w:szCs w:val="48"/>
        </w:rPr>
        <w:t>Cam</w:t>
      </w:r>
    </w:p>
    <w:p w14:paraId="5F1187B1" w14:textId="585425E9" w:rsidR="009A6D00" w:rsidRPr="00092CC2" w:rsidRDefault="00952ABA" w:rsidP="009A6D00">
      <w:pPr>
        <w:rPr>
          <w:rFonts w:ascii="Arial" w:hAnsi="Arial" w:cs="Arial"/>
          <w:sz w:val="44"/>
          <w:szCs w:val="48"/>
        </w:rPr>
      </w:pPr>
      <w:r>
        <w:rPr>
          <w:rFonts w:ascii="Arial" w:hAnsi="Arial" w:cs="Arial"/>
          <w:sz w:val="44"/>
          <w:szCs w:val="48"/>
        </w:rPr>
        <w:t>Stroud</w:t>
      </w:r>
    </w:p>
    <w:p w14:paraId="3E8F8CEF" w14:textId="77777777" w:rsidR="009A6D00" w:rsidRPr="00092CC2" w:rsidRDefault="009A6D00" w:rsidP="009A6D00">
      <w:pPr>
        <w:rPr>
          <w:rFonts w:ascii="Arial" w:hAnsi="Arial" w:cs="Arial"/>
          <w:sz w:val="44"/>
          <w:szCs w:val="48"/>
        </w:rPr>
      </w:pPr>
    </w:p>
    <w:p w14:paraId="241E7B6D" w14:textId="6B4C3FE4" w:rsidR="009A6D00" w:rsidRPr="00092CC2" w:rsidRDefault="00147C30" w:rsidP="009A6D00">
      <w:pPr>
        <w:rPr>
          <w:rFonts w:ascii="Arial" w:hAnsi="Arial" w:cs="Arial"/>
          <w:sz w:val="44"/>
          <w:szCs w:val="48"/>
        </w:rPr>
      </w:pPr>
      <w:r>
        <w:rPr>
          <w:rFonts w:ascii="Arial" w:hAnsi="Arial" w:cs="Arial"/>
          <w:sz w:val="44"/>
          <w:szCs w:val="48"/>
        </w:rPr>
        <w:fldChar w:fldCharType="begin"/>
      </w:r>
      <w:r>
        <w:rPr>
          <w:rFonts w:ascii="Arial" w:hAnsi="Arial" w:cs="Arial"/>
          <w:sz w:val="44"/>
          <w:szCs w:val="48"/>
        </w:rPr>
        <w:instrText xml:space="preserve"> DATE \@ "MMMM yy" </w:instrText>
      </w:r>
      <w:r>
        <w:rPr>
          <w:rFonts w:ascii="Arial" w:hAnsi="Arial" w:cs="Arial"/>
          <w:sz w:val="44"/>
          <w:szCs w:val="48"/>
        </w:rPr>
        <w:fldChar w:fldCharType="separate"/>
      </w:r>
      <w:r w:rsidR="00193995">
        <w:rPr>
          <w:rFonts w:ascii="Arial" w:hAnsi="Arial" w:cs="Arial"/>
          <w:noProof/>
          <w:sz w:val="44"/>
          <w:szCs w:val="48"/>
        </w:rPr>
        <w:t>June 21</w:t>
      </w:r>
      <w:r>
        <w:rPr>
          <w:rFonts w:ascii="Arial" w:hAnsi="Arial" w:cs="Arial"/>
          <w:sz w:val="44"/>
          <w:szCs w:val="48"/>
        </w:rPr>
        <w:fldChar w:fldCharType="end"/>
      </w:r>
      <w:r w:rsidR="009A6D00" w:rsidRPr="00092CC2">
        <w:rPr>
          <w:rFonts w:ascii="Arial" w:hAnsi="Arial" w:cs="Arial"/>
          <w:sz w:val="44"/>
          <w:szCs w:val="48"/>
        </w:rPr>
        <w:t xml:space="preserve"> </w:t>
      </w:r>
    </w:p>
    <w:p w14:paraId="4071CCD4" w14:textId="77777777" w:rsidR="008E290F" w:rsidRDefault="008E290F"/>
    <w:p w14:paraId="68CBBEC0" w14:textId="77777777" w:rsidR="008E290F" w:rsidRDefault="008E290F"/>
    <w:p w14:paraId="6B61AE81" w14:textId="77777777" w:rsidR="008E290F" w:rsidRDefault="008E290F"/>
    <w:p w14:paraId="1D707424" w14:textId="77777777" w:rsidR="008E290F" w:rsidRDefault="008E290F"/>
    <w:p w14:paraId="7E24447E" w14:textId="77777777" w:rsidR="008E290F" w:rsidRDefault="008E290F"/>
    <w:p w14:paraId="5064978C" w14:textId="77777777" w:rsidR="008E290F" w:rsidRDefault="008E290F"/>
    <w:p w14:paraId="3E16C6C7" w14:textId="77777777" w:rsidR="005563A4" w:rsidRDefault="005563A4" w:rsidP="005563A4">
      <w:pPr>
        <w:pStyle w:val="TOCHeading"/>
        <w:spacing w:line="360" w:lineRule="auto"/>
        <w:rPr>
          <w:rFonts w:asciiTheme="minorHAnsi" w:eastAsiaTheme="minorHAnsi" w:hAnsiTheme="minorHAnsi" w:cstheme="minorBidi"/>
          <w:color w:val="auto"/>
          <w:sz w:val="22"/>
          <w:szCs w:val="22"/>
          <w:lang w:val="en-GB"/>
        </w:rPr>
      </w:pPr>
    </w:p>
    <w:p w14:paraId="0AD48FDF" w14:textId="77777777" w:rsidR="00953B50" w:rsidRDefault="00953B50" w:rsidP="00953B50"/>
    <w:p w14:paraId="17A00DBE" w14:textId="77777777" w:rsidR="00953B50" w:rsidRPr="00953B50" w:rsidRDefault="00953B50" w:rsidP="00953B50"/>
    <w:sdt>
      <w:sdtPr>
        <w:rPr>
          <w:rFonts w:asciiTheme="minorHAnsi" w:eastAsiaTheme="minorHAnsi" w:hAnsiTheme="minorHAnsi" w:cstheme="minorBidi"/>
          <w:color w:val="auto"/>
          <w:sz w:val="22"/>
          <w:szCs w:val="22"/>
          <w:lang w:val="en-GB"/>
        </w:rPr>
        <w:id w:val="1431085264"/>
        <w:docPartObj>
          <w:docPartGallery w:val="Table of Contents"/>
          <w:docPartUnique/>
        </w:docPartObj>
      </w:sdtPr>
      <w:sdtEndPr>
        <w:rPr>
          <w:b/>
          <w:bCs/>
          <w:noProof/>
        </w:rPr>
      </w:sdtEndPr>
      <w:sdtContent>
        <w:p w14:paraId="723C008C" w14:textId="77777777" w:rsidR="005563A4" w:rsidRPr="005563A4" w:rsidRDefault="005563A4" w:rsidP="005563A4">
          <w:pPr>
            <w:pStyle w:val="TOCHeading"/>
            <w:spacing w:line="360" w:lineRule="auto"/>
            <w:rPr>
              <w:rFonts w:ascii="Arial" w:hAnsi="Arial" w:cs="Arial"/>
              <w:color w:val="003300"/>
              <w:sz w:val="28"/>
            </w:rPr>
          </w:pPr>
          <w:r w:rsidRPr="005563A4">
            <w:rPr>
              <w:rFonts w:ascii="Arial" w:hAnsi="Arial" w:cs="Arial"/>
              <w:color w:val="003300"/>
              <w:sz w:val="28"/>
            </w:rPr>
            <w:t>Contents</w:t>
          </w:r>
        </w:p>
        <w:p w14:paraId="5E173338" w14:textId="60EB6AA2" w:rsidR="006B6D6E" w:rsidRDefault="005563A4">
          <w:pPr>
            <w:pStyle w:val="TOC1"/>
            <w:tabs>
              <w:tab w:val="left" w:pos="440"/>
              <w:tab w:val="right" w:leader="dot" w:pos="9016"/>
            </w:tabs>
            <w:rPr>
              <w:rFonts w:eastAsiaTheme="minorEastAsia"/>
              <w:noProof/>
              <w:lang w:eastAsia="en-GB"/>
            </w:rPr>
          </w:pPr>
          <w:r w:rsidRPr="005563A4">
            <w:rPr>
              <w:rFonts w:ascii="Arial" w:hAnsi="Arial" w:cs="Arial"/>
            </w:rPr>
            <w:fldChar w:fldCharType="begin"/>
          </w:r>
          <w:r w:rsidRPr="005563A4">
            <w:rPr>
              <w:rFonts w:ascii="Arial" w:hAnsi="Arial" w:cs="Arial"/>
            </w:rPr>
            <w:instrText xml:space="preserve"> TOC \o "1-3" \h \z \u </w:instrText>
          </w:r>
          <w:r w:rsidRPr="005563A4">
            <w:rPr>
              <w:rFonts w:ascii="Arial" w:hAnsi="Arial" w:cs="Arial"/>
            </w:rPr>
            <w:fldChar w:fldCharType="separate"/>
          </w:r>
          <w:hyperlink w:anchor="_Toc38040303" w:history="1">
            <w:r w:rsidR="006B6D6E" w:rsidRPr="005F5573">
              <w:rPr>
                <w:rStyle w:val="Hyperlink"/>
                <w:noProof/>
              </w:rPr>
              <w:t>1.</w:t>
            </w:r>
            <w:r w:rsidR="006B6D6E">
              <w:rPr>
                <w:rFonts w:eastAsiaTheme="minorEastAsia"/>
                <w:noProof/>
                <w:lang w:eastAsia="en-GB"/>
              </w:rPr>
              <w:tab/>
            </w:r>
            <w:r w:rsidR="006B6D6E" w:rsidRPr="005F5573">
              <w:rPr>
                <w:rStyle w:val="Hyperlink"/>
                <w:noProof/>
              </w:rPr>
              <w:t>Introduction</w:t>
            </w:r>
            <w:r w:rsidR="006B6D6E">
              <w:rPr>
                <w:noProof/>
                <w:webHidden/>
              </w:rPr>
              <w:tab/>
            </w:r>
            <w:r w:rsidR="006B6D6E">
              <w:rPr>
                <w:noProof/>
                <w:webHidden/>
              </w:rPr>
              <w:fldChar w:fldCharType="begin"/>
            </w:r>
            <w:r w:rsidR="006B6D6E">
              <w:rPr>
                <w:noProof/>
                <w:webHidden/>
              </w:rPr>
              <w:instrText xml:space="preserve"> PAGEREF _Toc38040303 \h </w:instrText>
            </w:r>
            <w:r w:rsidR="006B6D6E">
              <w:rPr>
                <w:noProof/>
                <w:webHidden/>
              </w:rPr>
            </w:r>
            <w:r w:rsidR="006B6D6E">
              <w:rPr>
                <w:noProof/>
                <w:webHidden/>
              </w:rPr>
              <w:fldChar w:fldCharType="separate"/>
            </w:r>
            <w:r w:rsidR="00496D8A">
              <w:rPr>
                <w:noProof/>
                <w:webHidden/>
              </w:rPr>
              <w:t>1</w:t>
            </w:r>
            <w:r w:rsidR="006B6D6E">
              <w:rPr>
                <w:noProof/>
                <w:webHidden/>
              </w:rPr>
              <w:fldChar w:fldCharType="end"/>
            </w:r>
          </w:hyperlink>
        </w:p>
        <w:p w14:paraId="3B14CD5A" w14:textId="419E8236" w:rsidR="006B6D6E" w:rsidRDefault="00193995">
          <w:pPr>
            <w:pStyle w:val="TOC1"/>
            <w:tabs>
              <w:tab w:val="left" w:pos="440"/>
              <w:tab w:val="right" w:leader="dot" w:pos="9016"/>
            </w:tabs>
            <w:rPr>
              <w:rFonts w:eastAsiaTheme="minorEastAsia"/>
              <w:noProof/>
              <w:lang w:eastAsia="en-GB"/>
            </w:rPr>
          </w:pPr>
          <w:hyperlink w:anchor="_Toc38040304" w:history="1">
            <w:r w:rsidR="006B6D6E" w:rsidRPr="005F5573">
              <w:rPr>
                <w:rStyle w:val="Hyperlink"/>
                <w:noProof/>
              </w:rPr>
              <w:t>2.</w:t>
            </w:r>
            <w:r w:rsidR="006B6D6E">
              <w:rPr>
                <w:rFonts w:eastAsiaTheme="minorEastAsia"/>
                <w:noProof/>
                <w:lang w:eastAsia="en-GB"/>
              </w:rPr>
              <w:tab/>
            </w:r>
            <w:r w:rsidR="006B6D6E" w:rsidRPr="005F5573">
              <w:rPr>
                <w:rStyle w:val="Hyperlink"/>
                <w:noProof/>
              </w:rPr>
              <w:t>Proposed Development</w:t>
            </w:r>
            <w:r w:rsidR="006B6D6E">
              <w:rPr>
                <w:noProof/>
                <w:webHidden/>
              </w:rPr>
              <w:tab/>
            </w:r>
            <w:r w:rsidR="006B6D6E">
              <w:rPr>
                <w:noProof/>
                <w:webHidden/>
              </w:rPr>
              <w:fldChar w:fldCharType="begin"/>
            </w:r>
            <w:r w:rsidR="006B6D6E">
              <w:rPr>
                <w:noProof/>
                <w:webHidden/>
              </w:rPr>
              <w:instrText xml:space="preserve"> PAGEREF _Toc38040304 \h </w:instrText>
            </w:r>
            <w:r w:rsidR="006B6D6E">
              <w:rPr>
                <w:noProof/>
                <w:webHidden/>
              </w:rPr>
            </w:r>
            <w:r w:rsidR="006B6D6E">
              <w:rPr>
                <w:noProof/>
                <w:webHidden/>
              </w:rPr>
              <w:fldChar w:fldCharType="separate"/>
            </w:r>
            <w:r w:rsidR="00496D8A">
              <w:rPr>
                <w:noProof/>
                <w:webHidden/>
              </w:rPr>
              <w:t>2</w:t>
            </w:r>
            <w:r w:rsidR="006B6D6E">
              <w:rPr>
                <w:noProof/>
                <w:webHidden/>
              </w:rPr>
              <w:fldChar w:fldCharType="end"/>
            </w:r>
          </w:hyperlink>
        </w:p>
        <w:p w14:paraId="2816BFA7" w14:textId="186C47FA" w:rsidR="006B6D6E" w:rsidRDefault="00193995">
          <w:pPr>
            <w:pStyle w:val="TOC1"/>
            <w:tabs>
              <w:tab w:val="left" w:pos="440"/>
              <w:tab w:val="right" w:leader="dot" w:pos="9016"/>
            </w:tabs>
            <w:rPr>
              <w:rFonts w:eastAsiaTheme="minorEastAsia"/>
              <w:noProof/>
              <w:lang w:eastAsia="en-GB"/>
            </w:rPr>
          </w:pPr>
          <w:hyperlink w:anchor="_Toc38040305" w:history="1">
            <w:r w:rsidR="006B6D6E" w:rsidRPr="005F5573">
              <w:rPr>
                <w:rStyle w:val="Hyperlink"/>
                <w:noProof/>
              </w:rPr>
              <w:t>3.</w:t>
            </w:r>
            <w:r w:rsidR="006B6D6E">
              <w:rPr>
                <w:rFonts w:eastAsiaTheme="minorEastAsia"/>
                <w:noProof/>
                <w:lang w:eastAsia="en-GB"/>
              </w:rPr>
              <w:tab/>
            </w:r>
            <w:r w:rsidR="006B6D6E" w:rsidRPr="005F5573">
              <w:rPr>
                <w:rStyle w:val="Hyperlink"/>
                <w:noProof/>
              </w:rPr>
              <w:t>Planning Policy</w:t>
            </w:r>
            <w:r w:rsidR="006B6D6E">
              <w:rPr>
                <w:noProof/>
                <w:webHidden/>
              </w:rPr>
              <w:tab/>
            </w:r>
            <w:r w:rsidR="006B6D6E">
              <w:rPr>
                <w:noProof/>
                <w:webHidden/>
              </w:rPr>
              <w:fldChar w:fldCharType="begin"/>
            </w:r>
            <w:r w:rsidR="006B6D6E">
              <w:rPr>
                <w:noProof/>
                <w:webHidden/>
              </w:rPr>
              <w:instrText xml:space="preserve"> PAGEREF _Toc38040305 \h </w:instrText>
            </w:r>
            <w:r w:rsidR="006B6D6E">
              <w:rPr>
                <w:noProof/>
                <w:webHidden/>
              </w:rPr>
            </w:r>
            <w:r w:rsidR="006B6D6E">
              <w:rPr>
                <w:noProof/>
                <w:webHidden/>
              </w:rPr>
              <w:fldChar w:fldCharType="separate"/>
            </w:r>
            <w:r w:rsidR="00496D8A">
              <w:rPr>
                <w:noProof/>
                <w:webHidden/>
              </w:rPr>
              <w:t>3</w:t>
            </w:r>
            <w:r w:rsidR="006B6D6E">
              <w:rPr>
                <w:noProof/>
                <w:webHidden/>
              </w:rPr>
              <w:fldChar w:fldCharType="end"/>
            </w:r>
          </w:hyperlink>
        </w:p>
        <w:p w14:paraId="0BC327DD" w14:textId="090707BA" w:rsidR="006B6D6E" w:rsidRDefault="00193995">
          <w:pPr>
            <w:pStyle w:val="TOC1"/>
            <w:tabs>
              <w:tab w:val="left" w:pos="440"/>
              <w:tab w:val="right" w:leader="dot" w:pos="9016"/>
            </w:tabs>
            <w:rPr>
              <w:rFonts w:eastAsiaTheme="minorEastAsia"/>
              <w:noProof/>
              <w:lang w:eastAsia="en-GB"/>
            </w:rPr>
          </w:pPr>
          <w:hyperlink w:anchor="_Toc38040306" w:history="1">
            <w:r w:rsidR="006B6D6E" w:rsidRPr="005F5573">
              <w:rPr>
                <w:rStyle w:val="Hyperlink"/>
                <w:noProof/>
              </w:rPr>
              <w:t>4.</w:t>
            </w:r>
            <w:r w:rsidR="006B6D6E">
              <w:rPr>
                <w:rFonts w:eastAsiaTheme="minorEastAsia"/>
                <w:noProof/>
                <w:lang w:eastAsia="en-GB"/>
              </w:rPr>
              <w:tab/>
            </w:r>
            <w:r w:rsidR="006B6D6E" w:rsidRPr="005F5573">
              <w:rPr>
                <w:rStyle w:val="Hyperlink"/>
                <w:noProof/>
              </w:rPr>
              <w:t>Planning Assessment</w:t>
            </w:r>
            <w:r w:rsidR="006B6D6E">
              <w:rPr>
                <w:noProof/>
                <w:webHidden/>
              </w:rPr>
              <w:tab/>
            </w:r>
            <w:r w:rsidR="006B6D6E">
              <w:rPr>
                <w:noProof/>
                <w:webHidden/>
              </w:rPr>
              <w:fldChar w:fldCharType="begin"/>
            </w:r>
            <w:r w:rsidR="006B6D6E">
              <w:rPr>
                <w:noProof/>
                <w:webHidden/>
              </w:rPr>
              <w:instrText xml:space="preserve"> PAGEREF _Toc38040306 \h </w:instrText>
            </w:r>
            <w:r w:rsidR="006B6D6E">
              <w:rPr>
                <w:noProof/>
                <w:webHidden/>
              </w:rPr>
            </w:r>
            <w:r w:rsidR="006B6D6E">
              <w:rPr>
                <w:noProof/>
                <w:webHidden/>
              </w:rPr>
              <w:fldChar w:fldCharType="separate"/>
            </w:r>
            <w:r w:rsidR="00496D8A">
              <w:rPr>
                <w:noProof/>
                <w:webHidden/>
              </w:rPr>
              <w:t>5</w:t>
            </w:r>
            <w:r w:rsidR="006B6D6E">
              <w:rPr>
                <w:noProof/>
                <w:webHidden/>
              </w:rPr>
              <w:fldChar w:fldCharType="end"/>
            </w:r>
          </w:hyperlink>
        </w:p>
        <w:p w14:paraId="58DCF39E" w14:textId="001F2F16" w:rsidR="006B6D6E" w:rsidRDefault="00193995">
          <w:pPr>
            <w:pStyle w:val="TOC1"/>
            <w:tabs>
              <w:tab w:val="left" w:pos="440"/>
              <w:tab w:val="right" w:leader="dot" w:pos="9016"/>
            </w:tabs>
            <w:rPr>
              <w:rFonts w:eastAsiaTheme="minorEastAsia"/>
              <w:noProof/>
              <w:lang w:eastAsia="en-GB"/>
            </w:rPr>
          </w:pPr>
          <w:hyperlink w:anchor="_Toc38040307" w:history="1">
            <w:r w:rsidR="006B6D6E" w:rsidRPr="005F5573">
              <w:rPr>
                <w:rStyle w:val="Hyperlink"/>
                <w:noProof/>
              </w:rPr>
              <w:t xml:space="preserve">5. </w:t>
            </w:r>
            <w:r w:rsidR="006B6D6E">
              <w:rPr>
                <w:rFonts w:eastAsiaTheme="minorEastAsia"/>
                <w:noProof/>
                <w:lang w:eastAsia="en-GB"/>
              </w:rPr>
              <w:tab/>
            </w:r>
            <w:r w:rsidR="006B6D6E" w:rsidRPr="005F5573">
              <w:rPr>
                <w:rStyle w:val="Hyperlink"/>
                <w:noProof/>
              </w:rPr>
              <w:t>Conclusions</w:t>
            </w:r>
            <w:r w:rsidR="006B6D6E">
              <w:rPr>
                <w:noProof/>
                <w:webHidden/>
              </w:rPr>
              <w:tab/>
            </w:r>
            <w:r w:rsidR="006B6D6E">
              <w:rPr>
                <w:noProof/>
                <w:webHidden/>
              </w:rPr>
              <w:fldChar w:fldCharType="begin"/>
            </w:r>
            <w:r w:rsidR="006B6D6E">
              <w:rPr>
                <w:noProof/>
                <w:webHidden/>
              </w:rPr>
              <w:instrText xml:space="preserve"> PAGEREF _Toc38040307 \h </w:instrText>
            </w:r>
            <w:r w:rsidR="006B6D6E">
              <w:rPr>
                <w:noProof/>
                <w:webHidden/>
              </w:rPr>
            </w:r>
            <w:r w:rsidR="006B6D6E">
              <w:rPr>
                <w:noProof/>
                <w:webHidden/>
              </w:rPr>
              <w:fldChar w:fldCharType="separate"/>
            </w:r>
            <w:r w:rsidR="00496D8A">
              <w:rPr>
                <w:noProof/>
                <w:webHidden/>
              </w:rPr>
              <w:t>6</w:t>
            </w:r>
            <w:r w:rsidR="006B6D6E">
              <w:rPr>
                <w:noProof/>
                <w:webHidden/>
              </w:rPr>
              <w:fldChar w:fldCharType="end"/>
            </w:r>
          </w:hyperlink>
        </w:p>
        <w:p w14:paraId="2F7AE64A" w14:textId="7C95F2AE" w:rsidR="006B6D6E" w:rsidRDefault="00193995">
          <w:pPr>
            <w:pStyle w:val="TOC1"/>
            <w:tabs>
              <w:tab w:val="right" w:leader="dot" w:pos="9016"/>
            </w:tabs>
            <w:rPr>
              <w:rFonts w:eastAsiaTheme="minorEastAsia"/>
              <w:noProof/>
              <w:lang w:eastAsia="en-GB"/>
            </w:rPr>
          </w:pPr>
          <w:hyperlink w:anchor="_Toc38040308" w:history="1">
            <w:r w:rsidR="006B6D6E" w:rsidRPr="005F5573">
              <w:rPr>
                <w:rStyle w:val="Hyperlink"/>
                <w:noProof/>
              </w:rPr>
              <w:t>Appendices</w:t>
            </w:r>
            <w:r w:rsidR="006B6D6E">
              <w:rPr>
                <w:noProof/>
                <w:webHidden/>
              </w:rPr>
              <w:tab/>
            </w:r>
            <w:r w:rsidR="006B6D6E">
              <w:rPr>
                <w:noProof/>
                <w:webHidden/>
              </w:rPr>
              <w:fldChar w:fldCharType="begin"/>
            </w:r>
            <w:r w:rsidR="006B6D6E">
              <w:rPr>
                <w:noProof/>
                <w:webHidden/>
              </w:rPr>
              <w:instrText xml:space="preserve"> PAGEREF _Toc38040308 \h </w:instrText>
            </w:r>
            <w:r w:rsidR="006B6D6E">
              <w:rPr>
                <w:noProof/>
                <w:webHidden/>
              </w:rPr>
            </w:r>
            <w:r w:rsidR="006B6D6E">
              <w:rPr>
                <w:noProof/>
                <w:webHidden/>
              </w:rPr>
              <w:fldChar w:fldCharType="separate"/>
            </w:r>
            <w:r w:rsidR="00496D8A">
              <w:rPr>
                <w:noProof/>
                <w:webHidden/>
              </w:rPr>
              <w:t>7</w:t>
            </w:r>
            <w:r w:rsidR="006B6D6E">
              <w:rPr>
                <w:noProof/>
                <w:webHidden/>
              </w:rPr>
              <w:fldChar w:fldCharType="end"/>
            </w:r>
          </w:hyperlink>
        </w:p>
        <w:p w14:paraId="18E18252" w14:textId="594ED433" w:rsidR="006B6D6E" w:rsidRDefault="00193995">
          <w:pPr>
            <w:pStyle w:val="TOC2"/>
            <w:tabs>
              <w:tab w:val="right" w:leader="dot" w:pos="9016"/>
            </w:tabs>
            <w:rPr>
              <w:rFonts w:eastAsiaTheme="minorEastAsia"/>
              <w:noProof/>
              <w:lang w:eastAsia="en-GB"/>
            </w:rPr>
          </w:pPr>
          <w:hyperlink w:anchor="_Toc38040309" w:history="1">
            <w:r w:rsidR="006B6D6E" w:rsidRPr="005F5573">
              <w:rPr>
                <w:rStyle w:val="Hyperlink"/>
                <w:noProof/>
              </w:rPr>
              <w:t>Appendix 1: Affordable Homes Key Plan</w:t>
            </w:r>
            <w:r w:rsidR="006B6D6E">
              <w:rPr>
                <w:noProof/>
                <w:webHidden/>
              </w:rPr>
              <w:tab/>
            </w:r>
            <w:r w:rsidR="006B6D6E">
              <w:rPr>
                <w:noProof/>
                <w:webHidden/>
              </w:rPr>
              <w:fldChar w:fldCharType="begin"/>
            </w:r>
            <w:r w:rsidR="006B6D6E">
              <w:rPr>
                <w:noProof/>
                <w:webHidden/>
              </w:rPr>
              <w:instrText xml:space="preserve"> PAGEREF _Toc38040309 \h </w:instrText>
            </w:r>
            <w:r w:rsidR="006B6D6E">
              <w:rPr>
                <w:noProof/>
                <w:webHidden/>
              </w:rPr>
            </w:r>
            <w:r w:rsidR="006B6D6E">
              <w:rPr>
                <w:noProof/>
                <w:webHidden/>
              </w:rPr>
              <w:fldChar w:fldCharType="separate"/>
            </w:r>
            <w:r w:rsidR="00496D8A">
              <w:rPr>
                <w:noProof/>
                <w:webHidden/>
              </w:rPr>
              <w:t>7</w:t>
            </w:r>
            <w:r w:rsidR="006B6D6E">
              <w:rPr>
                <w:noProof/>
                <w:webHidden/>
              </w:rPr>
              <w:fldChar w:fldCharType="end"/>
            </w:r>
          </w:hyperlink>
        </w:p>
        <w:p w14:paraId="687204E5" w14:textId="0B087257" w:rsidR="006D36F1" w:rsidRDefault="005563A4" w:rsidP="006D36F1">
          <w:pPr>
            <w:spacing w:line="360" w:lineRule="auto"/>
          </w:pPr>
          <w:r w:rsidRPr="005563A4">
            <w:rPr>
              <w:rFonts w:ascii="Arial" w:hAnsi="Arial" w:cs="Arial"/>
              <w:b/>
              <w:bCs/>
              <w:noProof/>
            </w:rPr>
            <w:fldChar w:fldCharType="end"/>
          </w:r>
        </w:p>
      </w:sdtContent>
    </w:sdt>
    <w:p w14:paraId="7932A7A5" w14:textId="77777777" w:rsidR="006D36F1" w:rsidRPr="001713D3" w:rsidRDefault="006D36F1" w:rsidP="001713D3">
      <w:pPr>
        <w:pStyle w:val="TOCHeading"/>
        <w:spacing w:line="360" w:lineRule="auto"/>
        <w:rPr>
          <w:rFonts w:ascii="Arial" w:hAnsi="Arial" w:cs="Arial"/>
          <w:color w:val="003300"/>
          <w:sz w:val="28"/>
        </w:rPr>
      </w:pPr>
      <w:r>
        <w:rPr>
          <w:rFonts w:ascii="Arial" w:hAnsi="Arial" w:cs="Arial"/>
          <w:color w:val="003300"/>
          <w:sz w:val="28"/>
        </w:rPr>
        <w:t>Table of Figures</w:t>
      </w:r>
    </w:p>
    <w:p w14:paraId="126A67F2" w14:textId="308A89A8" w:rsidR="0085719D" w:rsidRDefault="0032019F">
      <w:pPr>
        <w:pStyle w:val="TableofFigures"/>
        <w:tabs>
          <w:tab w:val="right" w:leader="dot" w:pos="9016"/>
        </w:tabs>
        <w:rPr>
          <w:rFonts w:eastAsiaTheme="minorEastAsia"/>
          <w:noProof/>
          <w:lang w:eastAsia="en-GB"/>
        </w:rPr>
      </w:pPr>
      <w:r>
        <w:fldChar w:fldCharType="begin"/>
      </w:r>
      <w:r>
        <w:instrText xml:space="preserve"> TOC \h \z \c "Table" </w:instrText>
      </w:r>
      <w:r>
        <w:fldChar w:fldCharType="separate"/>
      </w:r>
      <w:hyperlink w:anchor="_Toc37773947" w:history="1">
        <w:r w:rsidR="0085719D" w:rsidRPr="009E108B">
          <w:rPr>
            <w:rStyle w:val="Hyperlink"/>
            <w:noProof/>
          </w:rPr>
          <w:t>Table 1: Proposed dwellings by type</w:t>
        </w:r>
        <w:r w:rsidR="0085719D">
          <w:rPr>
            <w:noProof/>
            <w:webHidden/>
          </w:rPr>
          <w:tab/>
        </w:r>
        <w:r w:rsidR="0085719D">
          <w:rPr>
            <w:noProof/>
            <w:webHidden/>
          </w:rPr>
          <w:fldChar w:fldCharType="begin"/>
        </w:r>
        <w:r w:rsidR="0085719D">
          <w:rPr>
            <w:noProof/>
            <w:webHidden/>
          </w:rPr>
          <w:instrText xml:space="preserve"> PAGEREF _Toc37773947 \h </w:instrText>
        </w:r>
        <w:r w:rsidR="0085719D">
          <w:rPr>
            <w:noProof/>
            <w:webHidden/>
          </w:rPr>
        </w:r>
        <w:r w:rsidR="0085719D">
          <w:rPr>
            <w:noProof/>
            <w:webHidden/>
          </w:rPr>
          <w:fldChar w:fldCharType="separate"/>
        </w:r>
        <w:r w:rsidR="00496D8A">
          <w:rPr>
            <w:noProof/>
            <w:webHidden/>
          </w:rPr>
          <w:t>2</w:t>
        </w:r>
        <w:r w:rsidR="0085719D">
          <w:rPr>
            <w:noProof/>
            <w:webHidden/>
          </w:rPr>
          <w:fldChar w:fldCharType="end"/>
        </w:r>
      </w:hyperlink>
    </w:p>
    <w:p w14:paraId="17227460" w14:textId="34B67F40" w:rsidR="0085719D" w:rsidRDefault="00193995">
      <w:pPr>
        <w:pStyle w:val="TableofFigures"/>
        <w:tabs>
          <w:tab w:val="right" w:leader="dot" w:pos="9016"/>
        </w:tabs>
        <w:rPr>
          <w:rFonts w:eastAsiaTheme="minorEastAsia"/>
          <w:noProof/>
          <w:lang w:eastAsia="en-GB"/>
        </w:rPr>
      </w:pPr>
      <w:hyperlink w:anchor="_Toc37773948" w:history="1">
        <w:r w:rsidR="0085719D" w:rsidRPr="009E108B">
          <w:rPr>
            <w:rStyle w:val="Hyperlink"/>
            <w:noProof/>
          </w:rPr>
          <w:t>Table 2: Proposed mix and tenure of affordable housing</w:t>
        </w:r>
        <w:r w:rsidR="0085719D">
          <w:rPr>
            <w:noProof/>
            <w:webHidden/>
          </w:rPr>
          <w:tab/>
        </w:r>
        <w:r w:rsidR="0085719D">
          <w:rPr>
            <w:noProof/>
            <w:webHidden/>
          </w:rPr>
          <w:fldChar w:fldCharType="begin"/>
        </w:r>
        <w:r w:rsidR="0085719D">
          <w:rPr>
            <w:noProof/>
            <w:webHidden/>
          </w:rPr>
          <w:instrText xml:space="preserve"> PAGEREF _Toc37773948 \h </w:instrText>
        </w:r>
        <w:r w:rsidR="0085719D">
          <w:rPr>
            <w:noProof/>
            <w:webHidden/>
          </w:rPr>
        </w:r>
        <w:r w:rsidR="0085719D">
          <w:rPr>
            <w:noProof/>
            <w:webHidden/>
          </w:rPr>
          <w:fldChar w:fldCharType="separate"/>
        </w:r>
        <w:r w:rsidR="00496D8A">
          <w:rPr>
            <w:noProof/>
            <w:webHidden/>
          </w:rPr>
          <w:t>5</w:t>
        </w:r>
        <w:r w:rsidR="0085719D">
          <w:rPr>
            <w:noProof/>
            <w:webHidden/>
          </w:rPr>
          <w:fldChar w:fldCharType="end"/>
        </w:r>
      </w:hyperlink>
    </w:p>
    <w:p w14:paraId="2F4B7DF2" w14:textId="433CE6AE" w:rsidR="001713D3" w:rsidRPr="004B2198" w:rsidRDefault="0032019F" w:rsidP="004B2198">
      <w:pPr>
        <w:tabs>
          <w:tab w:val="left" w:pos="1161"/>
        </w:tabs>
        <w:sectPr w:rsidR="001713D3" w:rsidRPr="004B2198">
          <w:footerReference w:type="default" r:id="rId8"/>
          <w:pgSz w:w="11906" w:h="16838"/>
          <w:pgMar w:top="1440" w:right="1440" w:bottom="1440" w:left="1440" w:header="708" w:footer="708" w:gutter="0"/>
          <w:cols w:space="708"/>
          <w:docGrid w:linePitch="360"/>
        </w:sectPr>
      </w:pPr>
      <w:r>
        <w:fldChar w:fldCharType="end"/>
      </w:r>
    </w:p>
    <w:p w14:paraId="7E2B858D" w14:textId="77777777" w:rsidR="009A6D00" w:rsidRDefault="007E1560" w:rsidP="00193995">
      <w:pPr>
        <w:pStyle w:val="Heading1"/>
        <w:jc w:val="both"/>
      </w:pPr>
      <w:bookmarkStart w:id="0" w:name="_Toc32916049"/>
      <w:bookmarkStart w:id="1" w:name="_Toc32923270"/>
      <w:bookmarkStart w:id="2" w:name="_Toc38040303"/>
      <w:r>
        <w:lastRenderedPageBreak/>
        <w:t>1.</w:t>
      </w:r>
      <w:r>
        <w:tab/>
      </w:r>
      <w:r w:rsidR="009A6D00">
        <w:t>Introduction</w:t>
      </w:r>
      <w:bookmarkEnd w:id="0"/>
      <w:bookmarkEnd w:id="1"/>
      <w:bookmarkEnd w:id="2"/>
      <w:r w:rsidR="009A6D00">
        <w:t xml:space="preserve"> </w:t>
      </w:r>
    </w:p>
    <w:p w14:paraId="66AF6DDA" w14:textId="77777777" w:rsidR="009A6D00" w:rsidRDefault="009A6D00" w:rsidP="00193995">
      <w:pPr>
        <w:jc w:val="both"/>
        <w:rPr>
          <w:rFonts w:ascii="Arial" w:hAnsi="Arial" w:cs="Arial"/>
          <w:sz w:val="20"/>
        </w:rPr>
      </w:pPr>
    </w:p>
    <w:p w14:paraId="5CFF8AD9" w14:textId="6745217A" w:rsidR="00B35174" w:rsidRDefault="009A6D00" w:rsidP="00193995">
      <w:pPr>
        <w:spacing w:line="360" w:lineRule="auto"/>
        <w:ind w:left="720" w:hanging="720"/>
        <w:jc w:val="both"/>
        <w:rPr>
          <w:rFonts w:ascii="Arial" w:hAnsi="Arial" w:cs="Arial"/>
          <w:sz w:val="20"/>
        </w:rPr>
      </w:pPr>
      <w:r>
        <w:rPr>
          <w:rFonts w:ascii="Arial" w:hAnsi="Arial" w:cs="Arial"/>
          <w:sz w:val="20"/>
        </w:rPr>
        <w:t>1.1</w:t>
      </w:r>
      <w:r>
        <w:rPr>
          <w:rFonts w:ascii="Arial" w:hAnsi="Arial" w:cs="Arial"/>
          <w:sz w:val="20"/>
        </w:rPr>
        <w:tab/>
        <w:t xml:space="preserve">This </w:t>
      </w:r>
      <w:r w:rsidR="001573D9">
        <w:rPr>
          <w:rFonts w:ascii="Arial" w:hAnsi="Arial" w:cs="Arial"/>
          <w:sz w:val="20"/>
        </w:rPr>
        <w:t>Affordable Housing</w:t>
      </w:r>
      <w:r>
        <w:rPr>
          <w:rFonts w:ascii="Arial" w:hAnsi="Arial" w:cs="Arial"/>
          <w:sz w:val="20"/>
        </w:rPr>
        <w:t xml:space="preserve"> Statement has been prepared</w:t>
      </w:r>
      <w:r w:rsidR="0018493B" w:rsidRPr="009F7CE2">
        <w:rPr>
          <w:rFonts w:ascii="Arial" w:hAnsi="Arial" w:cs="Arial"/>
          <w:sz w:val="20"/>
        </w:rPr>
        <w:t xml:space="preserve"> in support of a hybrid planning application submitted by Persimmon Homes Severn Valley (PHSV), for up to a total of 795 dwellings, comprising 231 dwellings in </w:t>
      </w:r>
      <w:r w:rsidR="00B31775">
        <w:rPr>
          <w:rFonts w:ascii="Arial" w:hAnsi="Arial" w:cs="Arial"/>
          <w:sz w:val="20"/>
        </w:rPr>
        <w:t>F</w:t>
      </w:r>
      <w:r w:rsidR="0018493B" w:rsidRPr="009F7CE2">
        <w:rPr>
          <w:rFonts w:ascii="Arial" w:hAnsi="Arial" w:cs="Arial"/>
          <w:sz w:val="20"/>
        </w:rPr>
        <w:t xml:space="preserve">ull application and the balance comprising 564 in </w:t>
      </w:r>
      <w:r w:rsidR="00B31775">
        <w:rPr>
          <w:rFonts w:ascii="Arial" w:hAnsi="Arial" w:cs="Arial"/>
          <w:sz w:val="20"/>
        </w:rPr>
        <w:t>O</w:t>
      </w:r>
      <w:r w:rsidR="0018493B" w:rsidRPr="009F7CE2">
        <w:rPr>
          <w:rFonts w:ascii="Arial" w:hAnsi="Arial" w:cs="Arial"/>
          <w:sz w:val="20"/>
        </w:rPr>
        <w:t>utline application.</w:t>
      </w:r>
    </w:p>
    <w:p w14:paraId="333AC3E8" w14:textId="522DF61B" w:rsidR="00A1645B" w:rsidRDefault="00A1645B" w:rsidP="00193995">
      <w:pPr>
        <w:spacing w:line="360" w:lineRule="auto"/>
        <w:ind w:left="720" w:hanging="720"/>
        <w:jc w:val="both"/>
        <w:rPr>
          <w:rFonts w:ascii="Arial" w:hAnsi="Arial" w:cs="Arial"/>
          <w:sz w:val="20"/>
        </w:rPr>
      </w:pPr>
      <w:r>
        <w:rPr>
          <w:rFonts w:ascii="Arial" w:hAnsi="Arial" w:cs="Arial"/>
          <w:sz w:val="20"/>
        </w:rPr>
        <w:t>1.2</w:t>
      </w:r>
      <w:r>
        <w:rPr>
          <w:rFonts w:ascii="Arial" w:hAnsi="Arial" w:cs="Arial"/>
          <w:sz w:val="20"/>
        </w:rPr>
        <w:tab/>
        <w:t xml:space="preserve">This report should be read in conjunction with the Planning Statement submitted as part of this </w:t>
      </w:r>
      <w:r w:rsidR="00147C30">
        <w:rPr>
          <w:rFonts w:ascii="Arial" w:hAnsi="Arial" w:cs="Arial"/>
          <w:sz w:val="20"/>
        </w:rPr>
        <w:t xml:space="preserve">hybrid </w:t>
      </w:r>
      <w:r>
        <w:rPr>
          <w:rFonts w:ascii="Arial" w:hAnsi="Arial" w:cs="Arial"/>
          <w:sz w:val="20"/>
        </w:rPr>
        <w:t>application</w:t>
      </w:r>
      <w:r w:rsidR="00147C30">
        <w:rPr>
          <w:rFonts w:ascii="Arial" w:hAnsi="Arial" w:cs="Arial"/>
          <w:sz w:val="20"/>
        </w:rPr>
        <w:t xml:space="preserve"> as well as the Design and Access Statement and accompanying plans</w:t>
      </w:r>
      <w:r>
        <w:rPr>
          <w:rFonts w:ascii="Arial" w:hAnsi="Arial" w:cs="Arial"/>
          <w:sz w:val="20"/>
        </w:rPr>
        <w:t xml:space="preserve">, which provide a detailed overview of the proposal and relevant policies. This Statement focusses specifically on the provision of affordable housing and how it contributes to the identified local need.  </w:t>
      </w:r>
    </w:p>
    <w:p w14:paraId="572BA96B" w14:textId="3C76D814" w:rsidR="001573D9" w:rsidRDefault="00A1645B" w:rsidP="00193995">
      <w:pPr>
        <w:spacing w:line="360" w:lineRule="auto"/>
        <w:ind w:left="720" w:hanging="720"/>
        <w:jc w:val="both"/>
        <w:rPr>
          <w:rFonts w:ascii="Arial" w:hAnsi="Arial" w:cs="Arial"/>
          <w:sz w:val="20"/>
        </w:rPr>
      </w:pPr>
      <w:r>
        <w:rPr>
          <w:rFonts w:ascii="Arial" w:hAnsi="Arial" w:cs="Arial"/>
          <w:sz w:val="20"/>
        </w:rPr>
        <w:t>1.3</w:t>
      </w:r>
      <w:r w:rsidR="001573D9" w:rsidRPr="001573D9">
        <w:rPr>
          <w:rFonts w:ascii="Arial" w:hAnsi="Arial" w:cs="Arial"/>
          <w:sz w:val="20"/>
        </w:rPr>
        <w:tab/>
        <w:t xml:space="preserve">In accordance with the Council’s </w:t>
      </w:r>
      <w:r w:rsidR="001573D9">
        <w:rPr>
          <w:rFonts w:ascii="Arial" w:hAnsi="Arial" w:cs="Arial"/>
          <w:sz w:val="20"/>
        </w:rPr>
        <w:t xml:space="preserve">Local Validation Checklist, </w:t>
      </w:r>
      <w:r w:rsidR="00CF37B9">
        <w:rPr>
          <w:rFonts w:ascii="Arial" w:hAnsi="Arial" w:cs="Arial"/>
          <w:sz w:val="20"/>
        </w:rPr>
        <w:t xml:space="preserve">the Statement </w:t>
      </w:r>
      <w:r w:rsidR="001573D9">
        <w:rPr>
          <w:rFonts w:ascii="Arial" w:hAnsi="Arial" w:cs="Arial"/>
          <w:sz w:val="20"/>
        </w:rPr>
        <w:t>provides information on the following:</w:t>
      </w:r>
    </w:p>
    <w:p w14:paraId="4DBEA9C6" w14:textId="72EE5D4D" w:rsidR="001573D9" w:rsidRDefault="001573D9" w:rsidP="00193995">
      <w:pPr>
        <w:pStyle w:val="ListParagraph"/>
        <w:numPr>
          <w:ilvl w:val="0"/>
          <w:numId w:val="30"/>
        </w:numPr>
        <w:spacing w:line="360" w:lineRule="auto"/>
        <w:ind w:left="1134" w:hanging="284"/>
        <w:jc w:val="both"/>
        <w:rPr>
          <w:rFonts w:ascii="Arial" w:hAnsi="Arial" w:cs="Arial"/>
          <w:sz w:val="20"/>
        </w:rPr>
      </w:pPr>
      <w:r>
        <w:rPr>
          <w:rFonts w:ascii="Arial" w:hAnsi="Arial" w:cs="Arial"/>
          <w:sz w:val="20"/>
        </w:rPr>
        <w:t>Number, mix and tenure of units</w:t>
      </w:r>
    </w:p>
    <w:p w14:paraId="3D7E53B3" w14:textId="01382381" w:rsidR="001573D9" w:rsidRDefault="001573D9" w:rsidP="00193995">
      <w:pPr>
        <w:pStyle w:val="ListParagraph"/>
        <w:numPr>
          <w:ilvl w:val="0"/>
          <w:numId w:val="30"/>
        </w:numPr>
        <w:spacing w:line="360" w:lineRule="auto"/>
        <w:ind w:left="1134" w:hanging="284"/>
        <w:jc w:val="both"/>
        <w:rPr>
          <w:rFonts w:ascii="Arial" w:hAnsi="Arial" w:cs="Arial"/>
          <w:sz w:val="20"/>
        </w:rPr>
      </w:pPr>
      <w:r>
        <w:rPr>
          <w:rFonts w:ascii="Arial" w:hAnsi="Arial" w:cs="Arial"/>
          <w:sz w:val="20"/>
        </w:rPr>
        <w:t>Gross internal floor area per unit in m</w:t>
      </w:r>
      <w:r w:rsidRPr="00CF37B9">
        <w:rPr>
          <w:rFonts w:ascii="Arial" w:hAnsi="Arial" w:cs="Arial"/>
          <w:sz w:val="20"/>
          <w:vertAlign w:val="superscript"/>
        </w:rPr>
        <w:t xml:space="preserve">2 </w:t>
      </w:r>
    </w:p>
    <w:p w14:paraId="61B6BEBD" w14:textId="38090266" w:rsidR="001573D9" w:rsidRDefault="00CF37B9" w:rsidP="00193995">
      <w:pPr>
        <w:pStyle w:val="ListParagraph"/>
        <w:numPr>
          <w:ilvl w:val="0"/>
          <w:numId w:val="30"/>
        </w:numPr>
        <w:spacing w:line="360" w:lineRule="auto"/>
        <w:ind w:left="1134" w:hanging="284"/>
        <w:jc w:val="both"/>
        <w:rPr>
          <w:rFonts w:ascii="Arial" w:hAnsi="Arial" w:cs="Arial"/>
          <w:sz w:val="20"/>
        </w:rPr>
      </w:pPr>
      <w:r>
        <w:rPr>
          <w:rFonts w:ascii="Arial" w:hAnsi="Arial" w:cs="Arial"/>
          <w:sz w:val="20"/>
        </w:rPr>
        <w:t>Information regarding how A</w:t>
      </w:r>
      <w:r w:rsidR="001573D9">
        <w:rPr>
          <w:rFonts w:ascii="Arial" w:hAnsi="Arial" w:cs="Arial"/>
          <w:sz w:val="20"/>
        </w:rPr>
        <w:t xml:space="preserve">ffordable Housing will be secured by way of a S106 Legal Agreement </w:t>
      </w:r>
    </w:p>
    <w:p w14:paraId="7EE3A420" w14:textId="1E0280BA" w:rsidR="00FC7A7C" w:rsidRDefault="00FC7A7C" w:rsidP="00193995">
      <w:pPr>
        <w:spacing w:line="360" w:lineRule="auto"/>
        <w:ind w:left="720" w:hanging="720"/>
        <w:jc w:val="both"/>
        <w:rPr>
          <w:rFonts w:ascii="Arial" w:hAnsi="Arial" w:cs="Arial"/>
          <w:sz w:val="20"/>
        </w:rPr>
      </w:pPr>
    </w:p>
    <w:p w14:paraId="61112CAB" w14:textId="58159CAA" w:rsidR="00CF37B9" w:rsidRDefault="00CF37B9" w:rsidP="00193995">
      <w:pPr>
        <w:spacing w:line="360" w:lineRule="auto"/>
        <w:ind w:left="720" w:hanging="720"/>
        <w:jc w:val="both"/>
        <w:rPr>
          <w:rFonts w:ascii="Arial" w:hAnsi="Arial" w:cs="Arial"/>
          <w:sz w:val="20"/>
        </w:rPr>
      </w:pPr>
    </w:p>
    <w:p w14:paraId="5027F81A" w14:textId="19833A2F" w:rsidR="00CF37B9" w:rsidRDefault="00CF37B9" w:rsidP="00193995">
      <w:pPr>
        <w:spacing w:line="360" w:lineRule="auto"/>
        <w:ind w:left="720" w:hanging="720"/>
        <w:jc w:val="both"/>
        <w:rPr>
          <w:rFonts w:ascii="Arial" w:hAnsi="Arial" w:cs="Arial"/>
          <w:sz w:val="20"/>
        </w:rPr>
      </w:pPr>
    </w:p>
    <w:p w14:paraId="5A5BE920" w14:textId="20695AC1" w:rsidR="00CF37B9" w:rsidRDefault="00CF37B9" w:rsidP="00193995">
      <w:pPr>
        <w:spacing w:line="360" w:lineRule="auto"/>
        <w:ind w:left="720" w:hanging="720"/>
        <w:jc w:val="both"/>
        <w:rPr>
          <w:rFonts w:ascii="Arial" w:hAnsi="Arial" w:cs="Arial"/>
          <w:sz w:val="20"/>
        </w:rPr>
      </w:pPr>
    </w:p>
    <w:p w14:paraId="04CB52CB" w14:textId="331C2D2C" w:rsidR="00CF37B9" w:rsidRDefault="00CF37B9" w:rsidP="00193995">
      <w:pPr>
        <w:spacing w:line="360" w:lineRule="auto"/>
        <w:ind w:left="720" w:hanging="720"/>
        <w:jc w:val="both"/>
        <w:rPr>
          <w:rFonts w:ascii="Arial" w:hAnsi="Arial" w:cs="Arial"/>
          <w:sz w:val="20"/>
        </w:rPr>
      </w:pPr>
    </w:p>
    <w:p w14:paraId="5AFDC654" w14:textId="77777777" w:rsidR="00CF37B9" w:rsidRDefault="00CF37B9" w:rsidP="00193995">
      <w:pPr>
        <w:spacing w:line="360" w:lineRule="auto"/>
        <w:ind w:left="720" w:hanging="720"/>
        <w:jc w:val="both"/>
        <w:rPr>
          <w:rFonts w:ascii="Arial" w:hAnsi="Arial" w:cs="Arial"/>
          <w:sz w:val="20"/>
        </w:rPr>
      </w:pPr>
    </w:p>
    <w:p w14:paraId="7764697C" w14:textId="77777777" w:rsidR="00FC7A7C" w:rsidRDefault="00FC7A7C" w:rsidP="00193995">
      <w:pPr>
        <w:spacing w:line="360" w:lineRule="auto"/>
        <w:ind w:left="720" w:hanging="720"/>
        <w:jc w:val="both"/>
        <w:rPr>
          <w:rFonts w:ascii="Arial" w:hAnsi="Arial" w:cs="Arial"/>
          <w:sz w:val="20"/>
        </w:rPr>
      </w:pPr>
    </w:p>
    <w:p w14:paraId="1CE461F6" w14:textId="77777777" w:rsidR="00FC7A7C" w:rsidRDefault="00FC7A7C" w:rsidP="00193995">
      <w:pPr>
        <w:spacing w:line="360" w:lineRule="auto"/>
        <w:ind w:left="720" w:hanging="720"/>
        <w:jc w:val="both"/>
        <w:rPr>
          <w:rFonts w:ascii="Arial" w:hAnsi="Arial" w:cs="Arial"/>
          <w:sz w:val="20"/>
        </w:rPr>
      </w:pPr>
    </w:p>
    <w:p w14:paraId="36D32E16" w14:textId="77777777" w:rsidR="006056AC" w:rsidRDefault="006056AC" w:rsidP="00193995">
      <w:pPr>
        <w:spacing w:line="360" w:lineRule="auto"/>
        <w:ind w:left="720" w:hanging="720"/>
        <w:jc w:val="both"/>
        <w:rPr>
          <w:rFonts w:ascii="Arial" w:hAnsi="Arial" w:cs="Arial"/>
          <w:sz w:val="20"/>
        </w:rPr>
      </w:pPr>
    </w:p>
    <w:p w14:paraId="1AAC7ECE" w14:textId="2C9ACB45" w:rsidR="009A6D00" w:rsidRDefault="009A6D00" w:rsidP="00193995">
      <w:pPr>
        <w:spacing w:line="360" w:lineRule="auto"/>
        <w:ind w:left="720" w:hanging="720"/>
        <w:jc w:val="both"/>
        <w:rPr>
          <w:rFonts w:ascii="Arial" w:hAnsi="Arial" w:cs="Arial"/>
          <w:sz w:val="20"/>
        </w:rPr>
      </w:pPr>
    </w:p>
    <w:p w14:paraId="4974DB00" w14:textId="77777777" w:rsidR="00700B60" w:rsidRDefault="00700B60" w:rsidP="00193995">
      <w:pPr>
        <w:spacing w:line="360" w:lineRule="auto"/>
        <w:ind w:left="720" w:hanging="720"/>
        <w:jc w:val="both"/>
        <w:rPr>
          <w:rFonts w:ascii="Arial" w:hAnsi="Arial" w:cs="Arial"/>
          <w:sz w:val="20"/>
        </w:rPr>
      </w:pPr>
    </w:p>
    <w:p w14:paraId="66896DF7" w14:textId="77777777" w:rsidR="009A6D00" w:rsidRDefault="009A6D00" w:rsidP="00193995">
      <w:pPr>
        <w:jc w:val="both"/>
        <w:rPr>
          <w:rFonts w:ascii="Arial" w:hAnsi="Arial" w:cs="Arial"/>
          <w:sz w:val="20"/>
        </w:rPr>
      </w:pPr>
    </w:p>
    <w:p w14:paraId="414C815C" w14:textId="77777777" w:rsidR="009A6D00" w:rsidRDefault="009A6D00" w:rsidP="00193995">
      <w:pPr>
        <w:jc w:val="both"/>
        <w:rPr>
          <w:rFonts w:ascii="Arial" w:hAnsi="Arial" w:cs="Arial"/>
          <w:sz w:val="20"/>
        </w:rPr>
      </w:pPr>
    </w:p>
    <w:p w14:paraId="2F0B7E17" w14:textId="77777777" w:rsidR="009A6D00" w:rsidRDefault="009A6D00" w:rsidP="00193995">
      <w:pPr>
        <w:jc w:val="both"/>
        <w:rPr>
          <w:rFonts w:ascii="Arial" w:hAnsi="Arial" w:cs="Arial"/>
          <w:sz w:val="20"/>
        </w:rPr>
      </w:pPr>
    </w:p>
    <w:p w14:paraId="66F0FFC3" w14:textId="77777777" w:rsidR="009A6D00" w:rsidRDefault="009A6D00" w:rsidP="00193995">
      <w:pPr>
        <w:jc w:val="both"/>
        <w:rPr>
          <w:rFonts w:ascii="Arial" w:hAnsi="Arial" w:cs="Arial"/>
          <w:sz w:val="20"/>
        </w:rPr>
      </w:pPr>
    </w:p>
    <w:p w14:paraId="4690B9A6" w14:textId="77777777" w:rsidR="009A6D00" w:rsidRDefault="009A6D00" w:rsidP="00193995">
      <w:pPr>
        <w:jc w:val="both"/>
        <w:rPr>
          <w:rFonts w:ascii="Arial" w:hAnsi="Arial" w:cs="Arial"/>
          <w:sz w:val="20"/>
        </w:rPr>
      </w:pPr>
    </w:p>
    <w:p w14:paraId="4364879E" w14:textId="70E4EEF1" w:rsidR="009E5854" w:rsidRDefault="009E5854" w:rsidP="00193995">
      <w:pPr>
        <w:pStyle w:val="Heading1"/>
        <w:jc w:val="both"/>
      </w:pPr>
      <w:bookmarkStart w:id="3" w:name="_Toc38040304"/>
      <w:r>
        <w:t>2.</w:t>
      </w:r>
      <w:r>
        <w:tab/>
      </w:r>
      <w:r w:rsidR="00CF37B9">
        <w:t>Proposed Development</w:t>
      </w:r>
      <w:bookmarkEnd w:id="3"/>
      <w:r w:rsidR="00CF37B9">
        <w:t xml:space="preserve"> </w:t>
      </w:r>
    </w:p>
    <w:p w14:paraId="2685E515" w14:textId="312CF328" w:rsidR="00CF37B9" w:rsidRDefault="00CF37B9" w:rsidP="00193995">
      <w:pPr>
        <w:jc w:val="both"/>
        <w:rPr>
          <w:rFonts w:ascii="Arial" w:hAnsi="Arial" w:cs="Arial"/>
          <w:sz w:val="20"/>
        </w:rPr>
      </w:pPr>
    </w:p>
    <w:p w14:paraId="198F5AE9" w14:textId="244AD0C6" w:rsidR="0018493B" w:rsidRDefault="00A7107D" w:rsidP="00193995">
      <w:pPr>
        <w:spacing w:line="360" w:lineRule="auto"/>
        <w:ind w:left="720" w:hanging="720"/>
        <w:jc w:val="both"/>
        <w:rPr>
          <w:rFonts w:ascii="Arial" w:hAnsi="Arial" w:cs="Arial"/>
          <w:sz w:val="20"/>
        </w:rPr>
      </w:pPr>
      <w:r>
        <w:rPr>
          <w:rFonts w:ascii="Arial" w:hAnsi="Arial" w:cs="Arial"/>
          <w:sz w:val="20"/>
        </w:rPr>
        <w:t>2</w:t>
      </w:r>
      <w:r w:rsidR="00CF37B9">
        <w:rPr>
          <w:rFonts w:ascii="Arial" w:hAnsi="Arial" w:cs="Arial"/>
          <w:sz w:val="20"/>
        </w:rPr>
        <w:t>.1</w:t>
      </w:r>
      <w:r w:rsidR="0018493B">
        <w:rPr>
          <w:rFonts w:ascii="Arial" w:hAnsi="Arial" w:cs="Arial"/>
          <w:sz w:val="20"/>
        </w:rPr>
        <w:tab/>
        <w:t>Full planning permission is sought for 231 dwellings which will form</w:t>
      </w:r>
      <w:r w:rsidR="000C6838">
        <w:rPr>
          <w:rFonts w:ascii="Arial" w:hAnsi="Arial" w:cs="Arial"/>
          <w:sz w:val="20"/>
        </w:rPr>
        <w:t xml:space="preserve"> part of</w:t>
      </w:r>
      <w:r w:rsidR="0018493B">
        <w:rPr>
          <w:rFonts w:ascii="Arial" w:hAnsi="Arial" w:cs="Arial"/>
          <w:sz w:val="20"/>
        </w:rPr>
        <w:t xml:space="preserve"> the first phase of development. Outline planning permission is also sought for the balance of 564 dwellings, forming the latter two phases of development</w:t>
      </w:r>
      <w:r w:rsidR="000C6838">
        <w:rPr>
          <w:rFonts w:ascii="Arial" w:hAnsi="Arial" w:cs="Arial"/>
          <w:sz w:val="20"/>
        </w:rPr>
        <w:t xml:space="preserve"> and part of the first phase</w:t>
      </w:r>
      <w:r w:rsidR="0018493B">
        <w:rPr>
          <w:rFonts w:ascii="Arial" w:hAnsi="Arial" w:cs="Arial"/>
          <w:sz w:val="20"/>
        </w:rPr>
        <w:t>, with the detail to be secured by future Reserved Matters applications. The S106 will secure the required mix for the future affor</w:t>
      </w:r>
      <w:r w:rsidR="008C0E88">
        <w:rPr>
          <w:rFonts w:ascii="Arial" w:hAnsi="Arial" w:cs="Arial"/>
          <w:sz w:val="20"/>
        </w:rPr>
        <w:t>dable housing to come forward as part of the detailed submission and future Reserved Matters.</w:t>
      </w:r>
      <w:r w:rsidR="00CF37B9">
        <w:rPr>
          <w:rFonts w:ascii="Arial" w:hAnsi="Arial" w:cs="Arial"/>
          <w:sz w:val="20"/>
        </w:rPr>
        <w:tab/>
      </w:r>
    </w:p>
    <w:p w14:paraId="4AFF88EE" w14:textId="039C1084" w:rsidR="00A7107D" w:rsidRDefault="00A7107D" w:rsidP="00193995">
      <w:pPr>
        <w:spacing w:line="360" w:lineRule="auto"/>
        <w:ind w:left="720" w:hanging="720"/>
        <w:jc w:val="both"/>
        <w:rPr>
          <w:rFonts w:ascii="Arial" w:hAnsi="Arial" w:cs="Arial"/>
          <w:sz w:val="20"/>
        </w:rPr>
      </w:pPr>
      <w:r>
        <w:rPr>
          <w:rFonts w:ascii="Arial" w:hAnsi="Arial" w:cs="Arial"/>
          <w:sz w:val="20"/>
        </w:rPr>
        <w:t>2.</w:t>
      </w:r>
      <w:r w:rsidR="0018493B">
        <w:rPr>
          <w:rFonts w:ascii="Arial" w:hAnsi="Arial" w:cs="Arial"/>
          <w:sz w:val="20"/>
        </w:rPr>
        <w:t>2</w:t>
      </w:r>
      <w:r>
        <w:rPr>
          <w:rFonts w:ascii="Arial" w:hAnsi="Arial" w:cs="Arial"/>
          <w:sz w:val="20"/>
        </w:rPr>
        <w:tab/>
      </w:r>
      <w:r w:rsidR="0018493B">
        <w:rPr>
          <w:rFonts w:ascii="Arial" w:hAnsi="Arial" w:cs="Arial"/>
          <w:sz w:val="20"/>
        </w:rPr>
        <w:t>The hybrid application, covering b</w:t>
      </w:r>
      <w:r w:rsidR="00147C30">
        <w:rPr>
          <w:rFonts w:ascii="Arial" w:hAnsi="Arial" w:cs="Arial"/>
          <w:sz w:val="20"/>
        </w:rPr>
        <w:t xml:space="preserve">oth the Outline element and Full element will deliver a policy compliant 30% affordable homes. For the Outline element this will be up to </w:t>
      </w:r>
      <w:r w:rsidR="0018493B">
        <w:rPr>
          <w:rFonts w:ascii="Arial" w:hAnsi="Arial" w:cs="Arial"/>
          <w:sz w:val="20"/>
        </w:rPr>
        <w:t xml:space="preserve">169 </w:t>
      </w:r>
      <w:r w:rsidR="00147C30">
        <w:rPr>
          <w:rFonts w:ascii="Arial" w:hAnsi="Arial" w:cs="Arial"/>
          <w:sz w:val="20"/>
        </w:rPr>
        <w:t xml:space="preserve">units and for the Full element this will total </w:t>
      </w:r>
      <w:r w:rsidR="0018493B">
        <w:rPr>
          <w:rFonts w:ascii="Arial" w:hAnsi="Arial" w:cs="Arial"/>
          <w:sz w:val="20"/>
        </w:rPr>
        <w:t>69</w:t>
      </w:r>
      <w:r w:rsidR="00147C30">
        <w:rPr>
          <w:rFonts w:ascii="Arial" w:hAnsi="Arial" w:cs="Arial"/>
          <w:sz w:val="20"/>
        </w:rPr>
        <w:t xml:space="preserve"> units</w:t>
      </w:r>
      <w:r w:rsidR="00BE41E2">
        <w:rPr>
          <w:rFonts w:ascii="Arial" w:hAnsi="Arial" w:cs="Arial"/>
          <w:sz w:val="20"/>
        </w:rPr>
        <w:t xml:space="preserve">. </w:t>
      </w:r>
      <w:r>
        <w:rPr>
          <w:rFonts w:ascii="Arial" w:hAnsi="Arial" w:cs="Arial"/>
          <w:sz w:val="20"/>
        </w:rPr>
        <w:t xml:space="preserve"> </w:t>
      </w:r>
      <w:r w:rsidR="00BE41E2">
        <w:rPr>
          <w:rFonts w:ascii="Arial" w:hAnsi="Arial" w:cs="Arial"/>
          <w:sz w:val="20"/>
        </w:rPr>
        <w:t>Details of the affordable provision are included later in this statement, with table 1 showing the proposed breakdown of dwellings by type</w:t>
      </w:r>
      <w:r w:rsidR="00147C30">
        <w:rPr>
          <w:rFonts w:ascii="Arial" w:hAnsi="Arial" w:cs="Arial"/>
          <w:sz w:val="20"/>
        </w:rPr>
        <w:t xml:space="preserve"> for the Full element as proposed at submission but which is open to negotiation and amendment through discussions with the affordable housing officer during the application</w:t>
      </w:r>
      <w:r w:rsidR="00BE41E2">
        <w:rPr>
          <w:rFonts w:ascii="Arial" w:hAnsi="Arial" w:cs="Arial"/>
          <w:sz w:val="20"/>
        </w:rPr>
        <w:t xml:space="preserve">.  </w:t>
      </w:r>
    </w:p>
    <w:p w14:paraId="1FF36CAF" w14:textId="2E0F79F0" w:rsidR="0085719D" w:rsidRDefault="0018493B" w:rsidP="00193995">
      <w:pPr>
        <w:spacing w:line="360" w:lineRule="auto"/>
        <w:ind w:left="720" w:hanging="720"/>
        <w:jc w:val="both"/>
        <w:rPr>
          <w:rFonts w:ascii="Arial" w:hAnsi="Arial" w:cs="Arial"/>
          <w:sz w:val="20"/>
        </w:rPr>
      </w:pPr>
      <w:r>
        <w:rPr>
          <w:rFonts w:ascii="Arial" w:hAnsi="Arial" w:cs="Arial"/>
          <w:sz w:val="20"/>
        </w:rPr>
        <w:t>2.3</w:t>
      </w:r>
      <w:r w:rsidR="00B47083">
        <w:rPr>
          <w:rFonts w:ascii="Arial" w:hAnsi="Arial" w:cs="Arial"/>
          <w:sz w:val="20"/>
        </w:rPr>
        <w:tab/>
        <w:t xml:space="preserve">The delivery of </w:t>
      </w:r>
      <w:r w:rsidR="00BE41E2">
        <w:rPr>
          <w:rFonts w:ascii="Arial" w:hAnsi="Arial" w:cs="Arial"/>
          <w:sz w:val="20"/>
        </w:rPr>
        <w:t>the</w:t>
      </w:r>
      <w:r w:rsidR="00B47083">
        <w:rPr>
          <w:rFonts w:ascii="Arial" w:hAnsi="Arial" w:cs="Arial"/>
          <w:sz w:val="20"/>
        </w:rPr>
        <w:t xml:space="preserve"> affordable housing will be secured </w:t>
      </w:r>
      <w:r w:rsidR="00147C30">
        <w:rPr>
          <w:rFonts w:ascii="Arial" w:hAnsi="Arial" w:cs="Arial"/>
          <w:sz w:val="20"/>
        </w:rPr>
        <w:t>through a Section 106 Agreement for both the Full and Outline elements.</w:t>
      </w:r>
      <w:r w:rsidR="00FD6AF4">
        <w:rPr>
          <w:rFonts w:ascii="Arial" w:hAnsi="Arial" w:cs="Arial"/>
          <w:sz w:val="20"/>
        </w:rPr>
        <w:t xml:space="preserve"> </w:t>
      </w:r>
    </w:p>
    <w:p w14:paraId="49FCCEA1" w14:textId="10A84C61" w:rsidR="000B477B" w:rsidRDefault="000B477B" w:rsidP="00193995">
      <w:pPr>
        <w:pStyle w:val="Caption"/>
        <w:keepNext/>
        <w:ind w:firstLine="720"/>
        <w:jc w:val="both"/>
      </w:pPr>
      <w:bookmarkStart w:id="4" w:name="_Toc37773947"/>
      <w:r>
        <w:t xml:space="preserve">Table </w:t>
      </w:r>
      <w:r w:rsidR="00193995">
        <w:fldChar w:fldCharType="begin"/>
      </w:r>
      <w:r w:rsidR="00193995">
        <w:instrText xml:space="preserve"> SEQ Table \* ARABIC </w:instrText>
      </w:r>
      <w:r w:rsidR="00193995">
        <w:fldChar w:fldCharType="separate"/>
      </w:r>
      <w:r w:rsidR="00496D8A">
        <w:rPr>
          <w:noProof/>
        </w:rPr>
        <w:t>1</w:t>
      </w:r>
      <w:r w:rsidR="00193995">
        <w:rPr>
          <w:noProof/>
        </w:rPr>
        <w:fldChar w:fldCharType="end"/>
      </w:r>
      <w:r>
        <w:t xml:space="preserve">: Proposed </w:t>
      </w:r>
      <w:r w:rsidR="0085719D">
        <w:t>dwellings by type</w:t>
      </w:r>
      <w:bookmarkEnd w:id="4"/>
    </w:p>
    <w:tbl>
      <w:tblPr>
        <w:tblStyle w:val="TableGrid"/>
        <w:tblpPr w:leftFromText="180" w:rightFromText="180" w:vertAnchor="text" w:horzAnchor="margin" w:tblpXSpec="center" w:tblpY="78"/>
        <w:tblW w:w="0" w:type="auto"/>
        <w:tblLook w:val="04A0" w:firstRow="1" w:lastRow="0" w:firstColumn="1" w:lastColumn="0" w:noHBand="0" w:noVBand="1"/>
      </w:tblPr>
      <w:tblGrid>
        <w:gridCol w:w="1708"/>
        <w:gridCol w:w="1694"/>
        <w:gridCol w:w="1727"/>
        <w:gridCol w:w="1727"/>
      </w:tblGrid>
      <w:tr w:rsidR="0085719D" w14:paraId="1A22B7FD" w14:textId="77777777" w:rsidTr="0085719D">
        <w:trPr>
          <w:trHeight w:val="469"/>
        </w:trPr>
        <w:tc>
          <w:tcPr>
            <w:tcW w:w="1708" w:type="dxa"/>
          </w:tcPr>
          <w:p w14:paraId="6AA603FD" w14:textId="77777777" w:rsidR="0085719D" w:rsidRPr="00B31775" w:rsidRDefault="0085719D" w:rsidP="00193995">
            <w:pPr>
              <w:spacing w:line="360" w:lineRule="auto"/>
              <w:jc w:val="both"/>
              <w:rPr>
                <w:rFonts w:ascii="Arial" w:hAnsi="Arial" w:cs="Arial"/>
                <w:b/>
                <w:sz w:val="20"/>
              </w:rPr>
            </w:pPr>
            <w:r w:rsidRPr="00B31775">
              <w:rPr>
                <w:rFonts w:ascii="Arial" w:hAnsi="Arial" w:cs="Arial"/>
                <w:b/>
                <w:sz w:val="20"/>
              </w:rPr>
              <w:t>Dwelling type</w:t>
            </w:r>
          </w:p>
        </w:tc>
        <w:tc>
          <w:tcPr>
            <w:tcW w:w="1694" w:type="dxa"/>
          </w:tcPr>
          <w:p w14:paraId="7DF3F4E5" w14:textId="70A82333" w:rsidR="0085719D" w:rsidRPr="00B31775" w:rsidRDefault="0085719D" w:rsidP="00193995">
            <w:pPr>
              <w:spacing w:line="360" w:lineRule="auto"/>
              <w:jc w:val="both"/>
              <w:rPr>
                <w:rFonts w:ascii="Arial" w:hAnsi="Arial" w:cs="Arial"/>
                <w:b/>
                <w:sz w:val="20"/>
              </w:rPr>
            </w:pPr>
            <w:r w:rsidRPr="00B31775">
              <w:rPr>
                <w:rFonts w:ascii="Arial" w:hAnsi="Arial" w:cs="Arial"/>
                <w:b/>
                <w:sz w:val="20"/>
              </w:rPr>
              <w:t>Market Units</w:t>
            </w:r>
          </w:p>
        </w:tc>
        <w:tc>
          <w:tcPr>
            <w:tcW w:w="1727" w:type="dxa"/>
          </w:tcPr>
          <w:p w14:paraId="1306FC4A" w14:textId="7387EEE9" w:rsidR="0085719D" w:rsidRPr="00B31775" w:rsidRDefault="0085719D" w:rsidP="00193995">
            <w:pPr>
              <w:spacing w:line="360" w:lineRule="auto"/>
              <w:jc w:val="both"/>
              <w:rPr>
                <w:rFonts w:ascii="Arial" w:hAnsi="Arial" w:cs="Arial"/>
                <w:b/>
                <w:sz w:val="20"/>
              </w:rPr>
            </w:pPr>
            <w:r w:rsidRPr="00B31775">
              <w:rPr>
                <w:rFonts w:ascii="Arial" w:hAnsi="Arial" w:cs="Arial"/>
                <w:b/>
                <w:sz w:val="20"/>
              </w:rPr>
              <w:t>Affordable Units</w:t>
            </w:r>
          </w:p>
        </w:tc>
        <w:tc>
          <w:tcPr>
            <w:tcW w:w="1727" w:type="dxa"/>
          </w:tcPr>
          <w:p w14:paraId="0E09698B" w14:textId="77777777" w:rsidR="0085719D" w:rsidRPr="00B31775" w:rsidRDefault="0085719D" w:rsidP="00193995">
            <w:pPr>
              <w:spacing w:line="360" w:lineRule="auto"/>
              <w:jc w:val="both"/>
              <w:rPr>
                <w:rFonts w:ascii="Arial" w:hAnsi="Arial" w:cs="Arial"/>
                <w:b/>
                <w:sz w:val="20"/>
              </w:rPr>
            </w:pPr>
            <w:r w:rsidRPr="00B31775">
              <w:rPr>
                <w:rFonts w:ascii="Arial" w:hAnsi="Arial" w:cs="Arial"/>
                <w:b/>
                <w:sz w:val="20"/>
              </w:rPr>
              <w:t>Total</w:t>
            </w:r>
          </w:p>
        </w:tc>
      </w:tr>
      <w:tr w:rsidR="007E5BB8" w14:paraId="20E277F9" w14:textId="77777777" w:rsidTr="0085719D">
        <w:trPr>
          <w:trHeight w:val="469"/>
        </w:trPr>
        <w:tc>
          <w:tcPr>
            <w:tcW w:w="1708" w:type="dxa"/>
          </w:tcPr>
          <w:p w14:paraId="3774F9A7" w14:textId="3F2877F6" w:rsidR="007E5BB8" w:rsidRPr="00B31775" w:rsidRDefault="00C86404" w:rsidP="00193995">
            <w:pPr>
              <w:spacing w:line="360" w:lineRule="auto"/>
              <w:jc w:val="both"/>
              <w:rPr>
                <w:rFonts w:ascii="Arial" w:hAnsi="Arial" w:cs="Arial"/>
                <w:b/>
                <w:sz w:val="20"/>
              </w:rPr>
            </w:pPr>
            <w:r w:rsidRPr="00B31775">
              <w:rPr>
                <w:rFonts w:ascii="Arial" w:hAnsi="Arial" w:cs="Arial"/>
                <w:b/>
                <w:sz w:val="20"/>
              </w:rPr>
              <w:t>Apartment</w:t>
            </w:r>
          </w:p>
        </w:tc>
        <w:tc>
          <w:tcPr>
            <w:tcW w:w="1694" w:type="dxa"/>
          </w:tcPr>
          <w:p w14:paraId="1D9A5BBA" w14:textId="385AFE68" w:rsidR="007E5BB8" w:rsidRPr="00B31775" w:rsidRDefault="00C86404" w:rsidP="00193995">
            <w:pPr>
              <w:spacing w:line="360" w:lineRule="auto"/>
              <w:jc w:val="both"/>
              <w:rPr>
                <w:rFonts w:ascii="Arial" w:hAnsi="Arial" w:cs="Arial"/>
                <w:b/>
                <w:sz w:val="20"/>
              </w:rPr>
            </w:pPr>
            <w:r w:rsidRPr="00B31775">
              <w:rPr>
                <w:rFonts w:ascii="Arial" w:hAnsi="Arial" w:cs="Arial"/>
                <w:b/>
                <w:sz w:val="20"/>
              </w:rPr>
              <w:t>0</w:t>
            </w:r>
          </w:p>
        </w:tc>
        <w:tc>
          <w:tcPr>
            <w:tcW w:w="1727" w:type="dxa"/>
          </w:tcPr>
          <w:p w14:paraId="45BDC32A" w14:textId="736E63BC" w:rsidR="007E5BB8" w:rsidRPr="00B31775" w:rsidRDefault="009C62F4" w:rsidP="00193995">
            <w:pPr>
              <w:spacing w:line="360" w:lineRule="auto"/>
              <w:jc w:val="both"/>
              <w:rPr>
                <w:rFonts w:ascii="Arial" w:hAnsi="Arial" w:cs="Arial"/>
                <w:b/>
                <w:sz w:val="20"/>
              </w:rPr>
            </w:pPr>
            <w:r w:rsidRPr="00B31775">
              <w:rPr>
                <w:rFonts w:ascii="Arial" w:hAnsi="Arial" w:cs="Arial"/>
                <w:b/>
                <w:sz w:val="20"/>
              </w:rPr>
              <w:t>21</w:t>
            </w:r>
          </w:p>
        </w:tc>
        <w:tc>
          <w:tcPr>
            <w:tcW w:w="1727" w:type="dxa"/>
          </w:tcPr>
          <w:p w14:paraId="1BF4FEDF" w14:textId="50110EAB" w:rsidR="007E5BB8" w:rsidRPr="00B31775" w:rsidRDefault="009C62F4" w:rsidP="00193995">
            <w:pPr>
              <w:spacing w:line="360" w:lineRule="auto"/>
              <w:jc w:val="both"/>
              <w:rPr>
                <w:rFonts w:ascii="Arial" w:hAnsi="Arial" w:cs="Arial"/>
                <w:b/>
                <w:sz w:val="20"/>
              </w:rPr>
            </w:pPr>
            <w:r w:rsidRPr="00B31775">
              <w:rPr>
                <w:rFonts w:ascii="Arial" w:hAnsi="Arial" w:cs="Arial"/>
                <w:b/>
                <w:sz w:val="20"/>
              </w:rPr>
              <w:t>22</w:t>
            </w:r>
          </w:p>
        </w:tc>
      </w:tr>
      <w:tr w:rsidR="0085719D" w14:paraId="63735EC5" w14:textId="77777777" w:rsidTr="0085719D">
        <w:trPr>
          <w:trHeight w:val="502"/>
        </w:trPr>
        <w:tc>
          <w:tcPr>
            <w:tcW w:w="1708" w:type="dxa"/>
          </w:tcPr>
          <w:p w14:paraId="40F92B1E" w14:textId="7498AA01" w:rsidR="0085719D" w:rsidRPr="00B31775" w:rsidRDefault="0085719D" w:rsidP="00193995">
            <w:pPr>
              <w:spacing w:line="360" w:lineRule="auto"/>
              <w:jc w:val="both"/>
              <w:rPr>
                <w:rFonts w:ascii="Arial" w:hAnsi="Arial" w:cs="Arial"/>
                <w:b/>
                <w:sz w:val="20"/>
              </w:rPr>
            </w:pPr>
            <w:r w:rsidRPr="00B31775">
              <w:rPr>
                <w:rFonts w:ascii="Arial" w:hAnsi="Arial" w:cs="Arial"/>
                <w:b/>
                <w:sz w:val="20"/>
              </w:rPr>
              <w:t>2 bed</w:t>
            </w:r>
          </w:p>
        </w:tc>
        <w:tc>
          <w:tcPr>
            <w:tcW w:w="1694" w:type="dxa"/>
          </w:tcPr>
          <w:p w14:paraId="31F7FF4E" w14:textId="62470AF6" w:rsidR="0085719D" w:rsidRPr="00B31775" w:rsidRDefault="00451701" w:rsidP="00193995">
            <w:pPr>
              <w:spacing w:line="360" w:lineRule="auto"/>
              <w:jc w:val="both"/>
              <w:rPr>
                <w:rFonts w:ascii="Arial" w:hAnsi="Arial" w:cs="Arial"/>
                <w:sz w:val="20"/>
              </w:rPr>
            </w:pPr>
            <w:r w:rsidRPr="00B31775">
              <w:rPr>
                <w:rFonts w:ascii="Arial" w:hAnsi="Arial" w:cs="Arial"/>
                <w:sz w:val="20"/>
              </w:rPr>
              <w:t>17</w:t>
            </w:r>
            <w:r w:rsidR="009C62F4" w:rsidRPr="00B31775">
              <w:rPr>
                <w:rFonts w:ascii="Arial" w:hAnsi="Arial" w:cs="Arial"/>
                <w:sz w:val="20"/>
              </w:rPr>
              <w:t>9</w:t>
            </w:r>
          </w:p>
        </w:tc>
        <w:tc>
          <w:tcPr>
            <w:tcW w:w="1727" w:type="dxa"/>
          </w:tcPr>
          <w:p w14:paraId="120A3246" w14:textId="0BFF36E3" w:rsidR="0085719D" w:rsidRPr="00B31775" w:rsidRDefault="00451701" w:rsidP="00193995">
            <w:pPr>
              <w:spacing w:line="360" w:lineRule="auto"/>
              <w:jc w:val="both"/>
              <w:rPr>
                <w:rFonts w:ascii="Arial" w:hAnsi="Arial" w:cs="Arial"/>
                <w:sz w:val="20"/>
              </w:rPr>
            </w:pPr>
            <w:r w:rsidRPr="00B31775">
              <w:rPr>
                <w:rFonts w:ascii="Arial" w:hAnsi="Arial" w:cs="Arial"/>
                <w:sz w:val="20"/>
              </w:rPr>
              <w:t>12</w:t>
            </w:r>
            <w:r w:rsidR="00125EE7" w:rsidRPr="00B31775">
              <w:rPr>
                <w:rFonts w:ascii="Arial" w:hAnsi="Arial" w:cs="Arial"/>
                <w:sz w:val="20"/>
              </w:rPr>
              <w:t>1</w:t>
            </w:r>
          </w:p>
        </w:tc>
        <w:tc>
          <w:tcPr>
            <w:tcW w:w="1727" w:type="dxa"/>
          </w:tcPr>
          <w:p w14:paraId="2C37603A" w14:textId="7D3768FD" w:rsidR="0085719D" w:rsidRPr="00B31775" w:rsidRDefault="009C62F4" w:rsidP="00193995">
            <w:pPr>
              <w:spacing w:line="360" w:lineRule="auto"/>
              <w:jc w:val="both"/>
              <w:rPr>
                <w:rFonts w:ascii="Arial" w:hAnsi="Arial" w:cs="Arial"/>
                <w:sz w:val="20"/>
              </w:rPr>
            </w:pPr>
            <w:r w:rsidRPr="00B31775">
              <w:rPr>
                <w:rFonts w:ascii="Arial" w:hAnsi="Arial" w:cs="Arial"/>
                <w:sz w:val="20"/>
              </w:rPr>
              <w:t>300</w:t>
            </w:r>
          </w:p>
        </w:tc>
      </w:tr>
      <w:tr w:rsidR="0085719D" w14:paraId="3460B3DF" w14:textId="77777777" w:rsidTr="0085719D">
        <w:trPr>
          <w:trHeight w:val="469"/>
        </w:trPr>
        <w:tc>
          <w:tcPr>
            <w:tcW w:w="1708" w:type="dxa"/>
          </w:tcPr>
          <w:p w14:paraId="5C079344" w14:textId="77777777" w:rsidR="0085719D" w:rsidRPr="00B31775" w:rsidRDefault="0085719D" w:rsidP="00193995">
            <w:pPr>
              <w:spacing w:line="360" w:lineRule="auto"/>
              <w:jc w:val="both"/>
              <w:rPr>
                <w:rFonts w:ascii="Arial" w:hAnsi="Arial" w:cs="Arial"/>
                <w:b/>
                <w:sz w:val="20"/>
              </w:rPr>
            </w:pPr>
            <w:r w:rsidRPr="00B31775">
              <w:rPr>
                <w:rFonts w:ascii="Arial" w:hAnsi="Arial" w:cs="Arial"/>
                <w:b/>
                <w:sz w:val="20"/>
              </w:rPr>
              <w:t>3 bed</w:t>
            </w:r>
          </w:p>
        </w:tc>
        <w:tc>
          <w:tcPr>
            <w:tcW w:w="1694" w:type="dxa"/>
          </w:tcPr>
          <w:p w14:paraId="29A98088" w14:textId="0560E4E3" w:rsidR="0085719D" w:rsidRPr="00B31775" w:rsidRDefault="009C62F4" w:rsidP="00193995">
            <w:pPr>
              <w:spacing w:line="360" w:lineRule="auto"/>
              <w:jc w:val="both"/>
              <w:rPr>
                <w:rFonts w:ascii="Arial" w:hAnsi="Arial" w:cs="Arial"/>
                <w:sz w:val="20"/>
              </w:rPr>
            </w:pPr>
            <w:r w:rsidRPr="00B31775">
              <w:rPr>
                <w:rFonts w:ascii="Arial" w:hAnsi="Arial" w:cs="Arial"/>
                <w:sz w:val="20"/>
              </w:rPr>
              <w:t>313</w:t>
            </w:r>
          </w:p>
        </w:tc>
        <w:tc>
          <w:tcPr>
            <w:tcW w:w="1727" w:type="dxa"/>
          </w:tcPr>
          <w:p w14:paraId="66B4994D" w14:textId="6A0B9286" w:rsidR="0085719D" w:rsidRPr="00B31775" w:rsidRDefault="00451701" w:rsidP="00193995">
            <w:pPr>
              <w:spacing w:line="360" w:lineRule="auto"/>
              <w:jc w:val="both"/>
              <w:rPr>
                <w:rFonts w:ascii="Arial" w:hAnsi="Arial" w:cs="Arial"/>
                <w:sz w:val="20"/>
              </w:rPr>
            </w:pPr>
            <w:r w:rsidRPr="00B31775">
              <w:rPr>
                <w:rFonts w:ascii="Arial" w:hAnsi="Arial" w:cs="Arial"/>
                <w:sz w:val="20"/>
              </w:rPr>
              <w:t>8</w:t>
            </w:r>
            <w:r w:rsidR="00125EE7" w:rsidRPr="00B31775">
              <w:rPr>
                <w:rFonts w:ascii="Arial" w:hAnsi="Arial" w:cs="Arial"/>
                <w:sz w:val="20"/>
              </w:rPr>
              <w:t>6</w:t>
            </w:r>
          </w:p>
        </w:tc>
        <w:tc>
          <w:tcPr>
            <w:tcW w:w="1727" w:type="dxa"/>
          </w:tcPr>
          <w:p w14:paraId="396A0C25" w14:textId="10ACA8D7" w:rsidR="0085719D" w:rsidRPr="00B31775" w:rsidRDefault="00451701" w:rsidP="00193995">
            <w:pPr>
              <w:spacing w:line="360" w:lineRule="auto"/>
              <w:jc w:val="both"/>
              <w:rPr>
                <w:rFonts w:ascii="Arial" w:hAnsi="Arial" w:cs="Arial"/>
                <w:sz w:val="20"/>
              </w:rPr>
            </w:pPr>
            <w:r w:rsidRPr="00B31775">
              <w:rPr>
                <w:rFonts w:ascii="Arial" w:hAnsi="Arial" w:cs="Arial"/>
                <w:sz w:val="20"/>
              </w:rPr>
              <w:t>3</w:t>
            </w:r>
            <w:r w:rsidR="009C62F4" w:rsidRPr="00B31775">
              <w:rPr>
                <w:rFonts w:ascii="Arial" w:hAnsi="Arial" w:cs="Arial"/>
                <w:sz w:val="20"/>
              </w:rPr>
              <w:t>99</w:t>
            </w:r>
          </w:p>
        </w:tc>
      </w:tr>
      <w:tr w:rsidR="0085719D" w14:paraId="4CDBD030" w14:textId="77777777" w:rsidTr="0085719D">
        <w:trPr>
          <w:trHeight w:val="469"/>
        </w:trPr>
        <w:tc>
          <w:tcPr>
            <w:tcW w:w="1708" w:type="dxa"/>
          </w:tcPr>
          <w:p w14:paraId="7CE12FF9" w14:textId="77777777" w:rsidR="0085719D" w:rsidRPr="00B31775" w:rsidRDefault="0085719D" w:rsidP="00193995">
            <w:pPr>
              <w:spacing w:line="360" w:lineRule="auto"/>
              <w:jc w:val="both"/>
              <w:rPr>
                <w:rFonts w:ascii="Arial" w:hAnsi="Arial" w:cs="Arial"/>
                <w:b/>
                <w:sz w:val="20"/>
              </w:rPr>
            </w:pPr>
            <w:r w:rsidRPr="00B31775">
              <w:rPr>
                <w:rFonts w:ascii="Arial" w:hAnsi="Arial" w:cs="Arial"/>
                <w:b/>
                <w:sz w:val="20"/>
              </w:rPr>
              <w:t>4 bed</w:t>
            </w:r>
          </w:p>
        </w:tc>
        <w:tc>
          <w:tcPr>
            <w:tcW w:w="1694" w:type="dxa"/>
          </w:tcPr>
          <w:p w14:paraId="65FA6BF9" w14:textId="337E5F8D" w:rsidR="0085719D" w:rsidRPr="00B31775" w:rsidRDefault="00451701" w:rsidP="00193995">
            <w:pPr>
              <w:spacing w:line="360" w:lineRule="auto"/>
              <w:jc w:val="both"/>
              <w:rPr>
                <w:rFonts w:ascii="Arial" w:hAnsi="Arial" w:cs="Arial"/>
                <w:sz w:val="20"/>
              </w:rPr>
            </w:pPr>
            <w:r w:rsidRPr="00B31775">
              <w:rPr>
                <w:rFonts w:ascii="Arial" w:hAnsi="Arial" w:cs="Arial"/>
                <w:sz w:val="20"/>
              </w:rPr>
              <w:t>65</w:t>
            </w:r>
          </w:p>
        </w:tc>
        <w:tc>
          <w:tcPr>
            <w:tcW w:w="1727" w:type="dxa"/>
          </w:tcPr>
          <w:p w14:paraId="530D2DDC" w14:textId="1C41801D" w:rsidR="0085719D" w:rsidRPr="00B31775" w:rsidRDefault="00451701" w:rsidP="00193995">
            <w:pPr>
              <w:spacing w:line="360" w:lineRule="auto"/>
              <w:jc w:val="both"/>
              <w:rPr>
                <w:rFonts w:ascii="Arial" w:hAnsi="Arial" w:cs="Arial"/>
                <w:sz w:val="20"/>
              </w:rPr>
            </w:pPr>
            <w:r w:rsidRPr="00B31775">
              <w:rPr>
                <w:rFonts w:ascii="Arial" w:hAnsi="Arial" w:cs="Arial"/>
                <w:sz w:val="20"/>
              </w:rPr>
              <w:t>10</w:t>
            </w:r>
          </w:p>
        </w:tc>
        <w:tc>
          <w:tcPr>
            <w:tcW w:w="1727" w:type="dxa"/>
          </w:tcPr>
          <w:p w14:paraId="3BA53B2C" w14:textId="0F4B9287" w:rsidR="0085719D" w:rsidRPr="00B31775" w:rsidRDefault="00451701" w:rsidP="00193995">
            <w:pPr>
              <w:spacing w:line="360" w:lineRule="auto"/>
              <w:jc w:val="both"/>
              <w:rPr>
                <w:rFonts w:ascii="Arial" w:hAnsi="Arial" w:cs="Arial"/>
                <w:sz w:val="20"/>
              </w:rPr>
            </w:pPr>
            <w:r w:rsidRPr="00B31775">
              <w:rPr>
                <w:rFonts w:ascii="Arial" w:hAnsi="Arial" w:cs="Arial"/>
                <w:sz w:val="20"/>
              </w:rPr>
              <w:t>75</w:t>
            </w:r>
          </w:p>
        </w:tc>
      </w:tr>
      <w:tr w:rsidR="0085719D" w14:paraId="3561DDEC" w14:textId="77777777" w:rsidTr="0085719D">
        <w:trPr>
          <w:trHeight w:val="502"/>
        </w:trPr>
        <w:tc>
          <w:tcPr>
            <w:tcW w:w="1708" w:type="dxa"/>
          </w:tcPr>
          <w:p w14:paraId="099AAA70" w14:textId="1FBED77C" w:rsidR="0085719D" w:rsidRPr="00B31775" w:rsidRDefault="0085719D" w:rsidP="00193995">
            <w:pPr>
              <w:spacing w:line="360" w:lineRule="auto"/>
              <w:jc w:val="both"/>
              <w:rPr>
                <w:rFonts w:ascii="Arial" w:hAnsi="Arial" w:cs="Arial"/>
                <w:b/>
                <w:sz w:val="20"/>
              </w:rPr>
            </w:pPr>
            <w:r w:rsidRPr="00B31775">
              <w:rPr>
                <w:rFonts w:ascii="Arial" w:hAnsi="Arial" w:cs="Arial"/>
                <w:b/>
                <w:sz w:val="20"/>
              </w:rPr>
              <w:t>Total</w:t>
            </w:r>
          </w:p>
        </w:tc>
        <w:tc>
          <w:tcPr>
            <w:tcW w:w="1694" w:type="dxa"/>
          </w:tcPr>
          <w:p w14:paraId="0D8930AE" w14:textId="6A57AAFE" w:rsidR="0085719D" w:rsidRPr="00B31775" w:rsidRDefault="009C62F4" w:rsidP="00193995">
            <w:pPr>
              <w:spacing w:line="360" w:lineRule="auto"/>
              <w:jc w:val="both"/>
              <w:rPr>
                <w:rFonts w:ascii="Arial" w:hAnsi="Arial" w:cs="Arial"/>
                <w:b/>
                <w:sz w:val="20"/>
              </w:rPr>
            </w:pPr>
            <w:r w:rsidRPr="00B31775">
              <w:rPr>
                <w:rFonts w:ascii="Arial" w:hAnsi="Arial" w:cs="Arial"/>
                <w:b/>
                <w:sz w:val="20"/>
              </w:rPr>
              <w:t>557</w:t>
            </w:r>
          </w:p>
        </w:tc>
        <w:tc>
          <w:tcPr>
            <w:tcW w:w="1727" w:type="dxa"/>
          </w:tcPr>
          <w:p w14:paraId="631D3A35" w14:textId="08B24BE1" w:rsidR="0085719D" w:rsidRPr="00B31775" w:rsidRDefault="00125EE7" w:rsidP="00193995">
            <w:pPr>
              <w:spacing w:line="360" w:lineRule="auto"/>
              <w:jc w:val="both"/>
              <w:rPr>
                <w:rFonts w:ascii="Arial" w:hAnsi="Arial" w:cs="Arial"/>
                <w:b/>
                <w:sz w:val="20"/>
              </w:rPr>
            </w:pPr>
            <w:r w:rsidRPr="00B31775">
              <w:rPr>
                <w:rFonts w:ascii="Arial" w:hAnsi="Arial" w:cs="Arial"/>
                <w:b/>
                <w:sz w:val="20"/>
              </w:rPr>
              <w:t>23</w:t>
            </w:r>
            <w:r w:rsidR="009C62F4" w:rsidRPr="00B31775">
              <w:rPr>
                <w:rFonts w:ascii="Arial" w:hAnsi="Arial" w:cs="Arial"/>
                <w:b/>
                <w:sz w:val="20"/>
              </w:rPr>
              <w:t>8</w:t>
            </w:r>
          </w:p>
        </w:tc>
        <w:tc>
          <w:tcPr>
            <w:tcW w:w="1727" w:type="dxa"/>
          </w:tcPr>
          <w:p w14:paraId="734EE987" w14:textId="70AF41F9" w:rsidR="0085719D" w:rsidRPr="00B31775" w:rsidRDefault="00451701" w:rsidP="00193995">
            <w:pPr>
              <w:spacing w:line="360" w:lineRule="auto"/>
              <w:jc w:val="both"/>
              <w:rPr>
                <w:rFonts w:ascii="Arial" w:hAnsi="Arial" w:cs="Arial"/>
                <w:b/>
                <w:sz w:val="20"/>
              </w:rPr>
            </w:pPr>
            <w:r w:rsidRPr="00B31775">
              <w:rPr>
                <w:rFonts w:ascii="Arial" w:hAnsi="Arial" w:cs="Arial"/>
                <w:b/>
                <w:sz w:val="20"/>
              </w:rPr>
              <w:t>7</w:t>
            </w:r>
            <w:r w:rsidR="00125EE7" w:rsidRPr="00B31775">
              <w:rPr>
                <w:rFonts w:ascii="Arial" w:hAnsi="Arial" w:cs="Arial"/>
                <w:b/>
                <w:sz w:val="20"/>
              </w:rPr>
              <w:t>95</w:t>
            </w:r>
          </w:p>
        </w:tc>
      </w:tr>
    </w:tbl>
    <w:p w14:paraId="70442755" w14:textId="77777777" w:rsidR="000B477B" w:rsidRDefault="000B477B" w:rsidP="00193995">
      <w:pPr>
        <w:spacing w:line="360" w:lineRule="auto"/>
        <w:jc w:val="both"/>
        <w:rPr>
          <w:rFonts w:ascii="Arial" w:hAnsi="Arial" w:cs="Arial"/>
          <w:sz w:val="20"/>
        </w:rPr>
      </w:pPr>
    </w:p>
    <w:p w14:paraId="16BCAAE6" w14:textId="77777777" w:rsidR="000B477B" w:rsidRDefault="000B477B" w:rsidP="00193995">
      <w:pPr>
        <w:spacing w:line="360" w:lineRule="auto"/>
        <w:ind w:left="720" w:hanging="720"/>
        <w:jc w:val="both"/>
        <w:rPr>
          <w:rFonts w:ascii="Arial" w:hAnsi="Arial" w:cs="Arial"/>
          <w:sz w:val="20"/>
        </w:rPr>
      </w:pPr>
    </w:p>
    <w:p w14:paraId="23DDF4EA" w14:textId="5C936640" w:rsidR="00A7107D" w:rsidRDefault="00A7107D" w:rsidP="00193995">
      <w:pPr>
        <w:spacing w:line="360" w:lineRule="auto"/>
        <w:ind w:left="720" w:hanging="720"/>
        <w:jc w:val="both"/>
        <w:rPr>
          <w:rFonts w:ascii="Arial" w:hAnsi="Arial" w:cs="Arial"/>
          <w:sz w:val="20"/>
        </w:rPr>
      </w:pPr>
    </w:p>
    <w:p w14:paraId="0C240150" w14:textId="70677AE1" w:rsidR="00A7107D" w:rsidRDefault="00A7107D" w:rsidP="00193995">
      <w:pPr>
        <w:spacing w:line="360" w:lineRule="auto"/>
        <w:ind w:left="720" w:hanging="720"/>
        <w:jc w:val="both"/>
        <w:rPr>
          <w:rFonts w:ascii="Arial" w:hAnsi="Arial" w:cs="Arial"/>
          <w:sz w:val="20"/>
        </w:rPr>
      </w:pPr>
    </w:p>
    <w:p w14:paraId="5DCA938C" w14:textId="19255350" w:rsidR="00A7107D" w:rsidRDefault="00A7107D" w:rsidP="00193995">
      <w:pPr>
        <w:spacing w:line="360" w:lineRule="auto"/>
        <w:ind w:left="720" w:hanging="720"/>
        <w:jc w:val="both"/>
        <w:rPr>
          <w:rFonts w:ascii="Arial" w:hAnsi="Arial" w:cs="Arial"/>
          <w:sz w:val="20"/>
        </w:rPr>
      </w:pPr>
    </w:p>
    <w:p w14:paraId="118A97E9" w14:textId="7A88709A" w:rsidR="007102F8" w:rsidRDefault="007102F8" w:rsidP="00193995">
      <w:pPr>
        <w:spacing w:line="360" w:lineRule="auto"/>
        <w:ind w:left="720" w:hanging="720"/>
        <w:jc w:val="both"/>
        <w:rPr>
          <w:rFonts w:ascii="Arial" w:hAnsi="Arial" w:cs="Arial"/>
          <w:sz w:val="20"/>
        </w:rPr>
      </w:pPr>
    </w:p>
    <w:p w14:paraId="54B76BE0" w14:textId="2EA5DAF3" w:rsidR="009E5854" w:rsidRDefault="002B78D2" w:rsidP="00193995">
      <w:pPr>
        <w:spacing w:line="360" w:lineRule="auto"/>
        <w:ind w:left="720" w:hanging="720"/>
        <w:jc w:val="both"/>
        <w:rPr>
          <w:rFonts w:ascii="Arial" w:hAnsi="Arial" w:cs="Arial"/>
          <w:sz w:val="20"/>
        </w:rPr>
      </w:pPr>
      <w:r>
        <w:rPr>
          <w:rFonts w:ascii="Arial" w:hAnsi="Arial" w:cs="Arial"/>
          <w:sz w:val="20"/>
        </w:rPr>
        <w:t xml:space="preserve"> </w:t>
      </w:r>
    </w:p>
    <w:p w14:paraId="7D744ABE" w14:textId="770B86E1" w:rsidR="009E5854" w:rsidRDefault="009E5854" w:rsidP="00193995">
      <w:pPr>
        <w:spacing w:line="360" w:lineRule="auto"/>
        <w:jc w:val="both"/>
        <w:rPr>
          <w:rFonts w:ascii="Arial" w:hAnsi="Arial" w:cs="Arial"/>
          <w:sz w:val="20"/>
        </w:rPr>
      </w:pPr>
    </w:p>
    <w:p w14:paraId="7E4E9961" w14:textId="4D7361D7" w:rsidR="009E5854" w:rsidRDefault="009E5854" w:rsidP="00193995">
      <w:pPr>
        <w:spacing w:line="360" w:lineRule="auto"/>
        <w:jc w:val="both"/>
        <w:rPr>
          <w:rFonts w:ascii="Arial" w:hAnsi="Arial" w:cs="Arial"/>
          <w:sz w:val="20"/>
        </w:rPr>
      </w:pPr>
    </w:p>
    <w:p w14:paraId="5E7D4594" w14:textId="196C5C31" w:rsidR="0085719D" w:rsidRDefault="0085719D" w:rsidP="00193995">
      <w:pPr>
        <w:spacing w:line="360" w:lineRule="auto"/>
        <w:jc w:val="both"/>
        <w:rPr>
          <w:rFonts w:ascii="Arial" w:hAnsi="Arial" w:cs="Arial"/>
          <w:sz w:val="20"/>
        </w:rPr>
      </w:pPr>
    </w:p>
    <w:p w14:paraId="6D1974BA" w14:textId="77777777" w:rsidR="0085719D" w:rsidRDefault="0085719D" w:rsidP="00193995">
      <w:pPr>
        <w:spacing w:line="360" w:lineRule="auto"/>
        <w:jc w:val="both"/>
        <w:rPr>
          <w:rFonts w:ascii="Arial" w:hAnsi="Arial" w:cs="Arial"/>
          <w:sz w:val="20"/>
        </w:rPr>
      </w:pPr>
    </w:p>
    <w:p w14:paraId="311CBCC4" w14:textId="3981EE7A" w:rsidR="009E5854" w:rsidRDefault="009E5854" w:rsidP="00193995">
      <w:pPr>
        <w:spacing w:line="360" w:lineRule="auto"/>
        <w:jc w:val="both"/>
        <w:rPr>
          <w:rFonts w:ascii="Arial" w:hAnsi="Arial" w:cs="Arial"/>
          <w:sz w:val="20"/>
        </w:rPr>
      </w:pPr>
    </w:p>
    <w:p w14:paraId="48A693E3" w14:textId="41BECDE0" w:rsidR="009E5854" w:rsidRDefault="009E5854" w:rsidP="00193995">
      <w:pPr>
        <w:spacing w:line="360" w:lineRule="auto"/>
        <w:jc w:val="both"/>
        <w:rPr>
          <w:rFonts w:ascii="Arial" w:hAnsi="Arial" w:cs="Arial"/>
          <w:sz w:val="20"/>
        </w:rPr>
      </w:pPr>
    </w:p>
    <w:p w14:paraId="4FECE437" w14:textId="424CF583" w:rsidR="009E5854" w:rsidRDefault="009E5854" w:rsidP="00193995">
      <w:pPr>
        <w:spacing w:line="360" w:lineRule="auto"/>
        <w:jc w:val="both"/>
        <w:rPr>
          <w:rFonts w:ascii="Arial" w:hAnsi="Arial" w:cs="Arial"/>
          <w:sz w:val="20"/>
        </w:rPr>
      </w:pPr>
    </w:p>
    <w:p w14:paraId="4207F9A3" w14:textId="4E86CEE9" w:rsidR="00C23E8B" w:rsidRDefault="00C23E8B" w:rsidP="00193995">
      <w:pPr>
        <w:jc w:val="both"/>
        <w:rPr>
          <w:rFonts w:ascii="Arial" w:hAnsi="Arial" w:cs="Arial"/>
          <w:sz w:val="20"/>
        </w:rPr>
      </w:pPr>
    </w:p>
    <w:p w14:paraId="0F0FA36C" w14:textId="40A69783" w:rsidR="009A6D00" w:rsidRDefault="00B47083" w:rsidP="00193995">
      <w:pPr>
        <w:pStyle w:val="Heading1"/>
        <w:jc w:val="both"/>
      </w:pPr>
      <w:bookmarkStart w:id="5" w:name="_Toc32916051"/>
      <w:bookmarkStart w:id="6" w:name="_Toc32923272"/>
      <w:bookmarkStart w:id="7" w:name="_Toc38040305"/>
      <w:r>
        <w:t>3</w:t>
      </w:r>
      <w:r w:rsidR="007E1560">
        <w:t>.</w:t>
      </w:r>
      <w:r w:rsidR="007E1560">
        <w:tab/>
      </w:r>
      <w:r w:rsidR="009A6D00" w:rsidRPr="001B167B">
        <w:t>Planning Policy</w:t>
      </w:r>
      <w:bookmarkEnd w:id="5"/>
      <w:bookmarkEnd w:id="6"/>
      <w:bookmarkEnd w:id="7"/>
      <w:r w:rsidR="009A6D00" w:rsidRPr="001B167B">
        <w:t xml:space="preserve"> </w:t>
      </w:r>
    </w:p>
    <w:p w14:paraId="65FD21F3" w14:textId="3E184F04" w:rsidR="009A6D00" w:rsidRDefault="009A6D00" w:rsidP="00193995">
      <w:pPr>
        <w:jc w:val="both"/>
      </w:pPr>
    </w:p>
    <w:p w14:paraId="0EAF238E" w14:textId="79229EEE" w:rsidR="00B47083" w:rsidRDefault="00B47083" w:rsidP="00193995">
      <w:pPr>
        <w:spacing w:line="360" w:lineRule="auto"/>
        <w:ind w:left="720" w:hanging="720"/>
        <w:jc w:val="both"/>
        <w:rPr>
          <w:rFonts w:ascii="Arial" w:hAnsi="Arial" w:cs="Arial"/>
          <w:sz w:val="20"/>
          <w:szCs w:val="20"/>
        </w:rPr>
      </w:pPr>
      <w:r w:rsidRPr="00B47083">
        <w:rPr>
          <w:rFonts w:ascii="Arial" w:hAnsi="Arial" w:cs="Arial"/>
          <w:sz w:val="20"/>
          <w:szCs w:val="20"/>
        </w:rPr>
        <w:t>3.</w:t>
      </w:r>
      <w:r>
        <w:rPr>
          <w:rFonts w:ascii="Arial" w:hAnsi="Arial" w:cs="Arial"/>
          <w:sz w:val="20"/>
          <w:szCs w:val="20"/>
        </w:rPr>
        <w:t>1</w:t>
      </w:r>
      <w:r w:rsidRPr="00B47083">
        <w:rPr>
          <w:rFonts w:ascii="Arial" w:hAnsi="Arial" w:cs="Arial"/>
          <w:sz w:val="20"/>
          <w:szCs w:val="20"/>
        </w:rPr>
        <w:tab/>
      </w:r>
      <w:r w:rsidRPr="000B6E31">
        <w:rPr>
          <w:rFonts w:ascii="Arial" w:hAnsi="Arial" w:cs="Arial"/>
          <w:sz w:val="20"/>
          <w:szCs w:val="20"/>
        </w:rPr>
        <w:t xml:space="preserve">Planning law requires that applications for planning permission be determined in accordance with the development plan, unless material considerations indicate otherwise. </w:t>
      </w:r>
    </w:p>
    <w:p w14:paraId="403810D0" w14:textId="65D4C092" w:rsidR="00B47083" w:rsidRDefault="00B47083" w:rsidP="00193995">
      <w:pPr>
        <w:spacing w:line="360" w:lineRule="auto"/>
        <w:ind w:left="720" w:hanging="720"/>
        <w:jc w:val="both"/>
        <w:rPr>
          <w:rFonts w:ascii="Arial" w:hAnsi="Arial" w:cs="Arial"/>
          <w:sz w:val="20"/>
          <w:szCs w:val="20"/>
        </w:rPr>
      </w:pPr>
      <w:r>
        <w:rPr>
          <w:rFonts w:ascii="Arial" w:hAnsi="Arial" w:cs="Arial"/>
          <w:sz w:val="20"/>
          <w:szCs w:val="20"/>
        </w:rPr>
        <w:t>3.2</w:t>
      </w:r>
      <w:r>
        <w:rPr>
          <w:rFonts w:ascii="Arial" w:hAnsi="Arial" w:cs="Arial"/>
          <w:sz w:val="20"/>
          <w:szCs w:val="20"/>
        </w:rPr>
        <w:tab/>
        <w:t xml:space="preserve">The relevant development plan document in regards to Affordable Housing is the Stroud District Council Local Plan (November 2015). </w:t>
      </w:r>
      <w:r w:rsidRPr="00B47083">
        <w:rPr>
          <w:rFonts w:ascii="Arial" w:hAnsi="Arial" w:cs="Arial"/>
          <w:b/>
          <w:sz w:val="20"/>
          <w:szCs w:val="20"/>
        </w:rPr>
        <w:t>Core Policy CP9</w:t>
      </w:r>
      <w:r w:rsidR="001C3003">
        <w:rPr>
          <w:rFonts w:ascii="Arial" w:hAnsi="Arial" w:cs="Arial"/>
          <w:b/>
          <w:sz w:val="20"/>
          <w:szCs w:val="20"/>
        </w:rPr>
        <w:t xml:space="preserve"> </w:t>
      </w:r>
      <w:r w:rsidR="001C3003">
        <w:rPr>
          <w:rFonts w:ascii="Arial" w:hAnsi="Arial" w:cs="Arial"/>
          <w:sz w:val="20"/>
          <w:szCs w:val="20"/>
        </w:rPr>
        <w:t>of the document</w:t>
      </w:r>
      <w:r>
        <w:rPr>
          <w:rFonts w:ascii="Arial" w:hAnsi="Arial" w:cs="Arial"/>
          <w:sz w:val="20"/>
          <w:szCs w:val="20"/>
        </w:rPr>
        <w:t xml:space="preserve"> </w:t>
      </w:r>
      <w:r w:rsidR="001C3003">
        <w:rPr>
          <w:rFonts w:ascii="Arial" w:hAnsi="Arial" w:cs="Arial"/>
          <w:sz w:val="20"/>
          <w:szCs w:val="20"/>
        </w:rPr>
        <w:t xml:space="preserve">identifies a need for 446 affordable dwellings per annum and </w:t>
      </w:r>
      <w:r>
        <w:rPr>
          <w:rFonts w:ascii="Arial" w:hAnsi="Arial" w:cs="Arial"/>
          <w:sz w:val="20"/>
          <w:szCs w:val="20"/>
        </w:rPr>
        <w:t xml:space="preserve">requires that all residential proposals of at least 4 dwellings will </w:t>
      </w:r>
      <w:r w:rsidR="00C315A3">
        <w:rPr>
          <w:rFonts w:ascii="Arial" w:hAnsi="Arial" w:cs="Arial"/>
          <w:sz w:val="20"/>
          <w:szCs w:val="20"/>
        </w:rPr>
        <w:t xml:space="preserve">provide at least 30% of the net units proposed as affordable dwellings, where viable. </w:t>
      </w:r>
    </w:p>
    <w:p w14:paraId="0A0A68D0" w14:textId="3E365535" w:rsidR="00C315A3" w:rsidRDefault="006D335A" w:rsidP="00193995">
      <w:pPr>
        <w:spacing w:line="360" w:lineRule="auto"/>
        <w:ind w:left="720" w:hanging="720"/>
        <w:jc w:val="both"/>
        <w:rPr>
          <w:rFonts w:ascii="Arial" w:hAnsi="Arial" w:cs="Arial"/>
          <w:sz w:val="20"/>
          <w:szCs w:val="20"/>
        </w:rPr>
      </w:pPr>
      <w:r>
        <w:rPr>
          <w:rFonts w:ascii="Arial" w:hAnsi="Arial" w:cs="Arial"/>
          <w:sz w:val="20"/>
          <w:szCs w:val="20"/>
        </w:rPr>
        <w:t>3.3</w:t>
      </w:r>
      <w:r>
        <w:rPr>
          <w:rFonts w:ascii="Arial" w:hAnsi="Arial" w:cs="Arial"/>
          <w:sz w:val="20"/>
          <w:szCs w:val="20"/>
        </w:rPr>
        <w:tab/>
        <w:t>Further material considerations that are of relevance to the provision of affordable housing in Stroud will be reviewed thematically and comprise of:</w:t>
      </w:r>
    </w:p>
    <w:p w14:paraId="2A040BB5" w14:textId="5FED915B" w:rsidR="006D335A" w:rsidRDefault="006D335A" w:rsidP="00193995">
      <w:pPr>
        <w:pStyle w:val="ListParagraph"/>
        <w:numPr>
          <w:ilvl w:val="0"/>
          <w:numId w:val="33"/>
        </w:numPr>
        <w:spacing w:line="360" w:lineRule="auto"/>
        <w:ind w:left="1134" w:hanging="283"/>
        <w:jc w:val="both"/>
        <w:rPr>
          <w:rFonts w:ascii="Arial" w:hAnsi="Arial" w:cs="Arial"/>
          <w:sz w:val="20"/>
          <w:szCs w:val="20"/>
        </w:rPr>
      </w:pPr>
      <w:r>
        <w:rPr>
          <w:rFonts w:ascii="Arial" w:hAnsi="Arial" w:cs="Arial"/>
          <w:sz w:val="20"/>
          <w:szCs w:val="20"/>
        </w:rPr>
        <w:t>Planning Obligations Supplementary Planning Document (April 2017)</w:t>
      </w:r>
    </w:p>
    <w:p w14:paraId="37EE3A62" w14:textId="7B4443FB" w:rsidR="006D335A" w:rsidRDefault="006D335A" w:rsidP="00193995">
      <w:pPr>
        <w:pStyle w:val="ListParagraph"/>
        <w:numPr>
          <w:ilvl w:val="0"/>
          <w:numId w:val="33"/>
        </w:numPr>
        <w:spacing w:line="360" w:lineRule="auto"/>
        <w:ind w:left="1134" w:hanging="283"/>
        <w:jc w:val="both"/>
        <w:rPr>
          <w:rFonts w:ascii="Arial" w:hAnsi="Arial" w:cs="Arial"/>
          <w:sz w:val="20"/>
          <w:szCs w:val="20"/>
        </w:rPr>
      </w:pPr>
      <w:r>
        <w:rPr>
          <w:rFonts w:ascii="Arial" w:hAnsi="Arial" w:cs="Arial"/>
          <w:sz w:val="20"/>
          <w:szCs w:val="20"/>
        </w:rPr>
        <w:t>Stroud District Council Strategic Housing Market Assessment (SHMA) (June 2015)</w:t>
      </w:r>
    </w:p>
    <w:p w14:paraId="04F0F118" w14:textId="3740814D" w:rsidR="006D335A" w:rsidRDefault="006D335A" w:rsidP="00193995">
      <w:pPr>
        <w:pStyle w:val="ListParagraph"/>
        <w:numPr>
          <w:ilvl w:val="0"/>
          <w:numId w:val="33"/>
        </w:numPr>
        <w:spacing w:line="360" w:lineRule="auto"/>
        <w:ind w:left="1134" w:hanging="283"/>
        <w:jc w:val="both"/>
        <w:rPr>
          <w:rFonts w:ascii="Arial" w:hAnsi="Arial" w:cs="Arial"/>
          <w:sz w:val="20"/>
          <w:szCs w:val="20"/>
        </w:rPr>
      </w:pPr>
      <w:r>
        <w:rPr>
          <w:rFonts w:ascii="Arial" w:hAnsi="Arial" w:cs="Arial"/>
          <w:sz w:val="20"/>
          <w:szCs w:val="20"/>
        </w:rPr>
        <w:t>National Planning Policy Framework (NPPF)</w:t>
      </w:r>
    </w:p>
    <w:p w14:paraId="40AD3220" w14:textId="5A00D29E" w:rsidR="003B792C" w:rsidRPr="00A0702B" w:rsidRDefault="003B792C" w:rsidP="00193995">
      <w:pPr>
        <w:pStyle w:val="ListParagraph"/>
        <w:numPr>
          <w:ilvl w:val="0"/>
          <w:numId w:val="33"/>
        </w:numPr>
        <w:spacing w:line="360" w:lineRule="auto"/>
        <w:ind w:left="1134" w:hanging="283"/>
        <w:jc w:val="both"/>
        <w:rPr>
          <w:rFonts w:ascii="Arial" w:hAnsi="Arial" w:cs="Arial"/>
          <w:sz w:val="20"/>
          <w:szCs w:val="20"/>
        </w:rPr>
      </w:pPr>
      <w:r w:rsidRPr="00A0702B">
        <w:rPr>
          <w:rFonts w:ascii="Arial" w:hAnsi="Arial" w:cs="Arial"/>
          <w:sz w:val="20"/>
          <w:szCs w:val="20"/>
        </w:rPr>
        <w:t>Affordable Housing Register</w:t>
      </w:r>
    </w:p>
    <w:p w14:paraId="4E296167" w14:textId="273A86A4" w:rsidR="006D335A" w:rsidRDefault="006D335A" w:rsidP="00193995">
      <w:pPr>
        <w:spacing w:line="360" w:lineRule="auto"/>
        <w:jc w:val="both"/>
        <w:rPr>
          <w:rFonts w:ascii="Arial" w:hAnsi="Arial" w:cs="Arial"/>
          <w:b/>
          <w:i/>
          <w:sz w:val="20"/>
          <w:szCs w:val="20"/>
        </w:rPr>
      </w:pPr>
      <w:r w:rsidRPr="006D335A">
        <w:rPr>
          <w:rFonts w:ascii="Arial" w:hAnsi="Arial" w:cs="Arial"/>
          <w:b/>
          <w:i/>
          <w:sz w:val="20"/>
          <w:szCs w:val="20"/>
        </w:rPr>
        <w:t>Tenure</w:t>
      </w:r>
    </w:p>
    <w:p w14:paraId="0B4C1B7F" w14:textId="10B11548" w:rsidR="006D335A" w:rsidRPr="006D335A" w:rsidRDefault="006D335A" w:rsidP="00193995">
      <w:pPr>
        <w:spacing w:line="360" w:lineRule="auto"/>
        <w:ind w:left="720" w:hanging="720"/>
        <w:jc w:val="both"/>
        <w:rPr>
          <w:rFonts w:ascii="Arial" w:hAnsi="Arial" w:cs="Arial"/>
          <w:sz w:val="20"/>
          <w:szCs w:val="20"/>
        </w:rPr>
      </w:pPr>
      <w:r>
        <w:rPr>
          <w:rFonts w:ascii="Arial" w:hAnsi="Arial" w:cs="Arial"/>
          <w:sz w:val="20"/>
          <w:szCs w:val="20"/>
        </w:rPr>
        <w:t>3.4</w:t>
      </w:r>
      <w:r>
        <w:rPr>
          <w:rFonts w:ascii="Arial" w:hAnsi="Arial" w:cs="Arial"/>
          <w:sz w:val="20"/>
          <w:szCs w:val="20"/>
        </w:rPr>
        <w:tab/>
      </w:r>
      <w:r w:rsidR="00834C93">
        <w:rPr>
          <w:rFonts w:ascii="Arial" w:hAnsi="Arial" w:cs="Arial"/>
          <w:sz w:val="20"/>
          <w:szCs w:val="20"/>
        </w:rPr>
        <w:t xml:space="preserve">Annex 2 of the NPPF sets out the government’s definition of Affordable Housing, of which includes social rented, affordable rented and intermediate forms of housing such as shared ownership. </w:t>
      </w:r>
    </w:p>
    <w:p w14:paraId="2E1ABE87" w14:textId="6CC86E61" w:rsidR="00880357" w:rsidRDefault="00834C93" w:rsidP="00193995">
      <w:pPr>
        <w:spacing w:line="360" w:lineRule="auto"/>
        <w:ind w:left="720" w:hanging="720"/>
        <w:jc w:val="both"/>
        <w:rPr>
          <w:rFonts w:ascii="Arial" w:hAnsi="Arial" w:cs="Arial"/>
          <w:sz w:val="20"/>
          <w:szCs w:val="20"/>
        </w:rPr>
      </w:pPr>
      <w:r>
        <w:rPr>
          <w:rFonts w:ascii="Arial" w:hAnsi="Arial" w:cs="Arial"/>
          <w:sz w:val="20"/>
          <w:szCs w:val="20"/>
        </w:rPr>
        <w:t>3.5</w:t>
      </w:r>
      <w:r>
        <w:rPr>
          <w:rFonts w:ascii="Arial" w:hAnsi="Arial" w:cs="Arial"/>
          <w:sz w:val="20"/>
          <w:szCs w:val="20"/>
        </w:rPr>
        <w:tab/>
        <w:t xml:space="preserve">Stroud District Council </w:t>
      </w:r>
      <w:r w:rsidRPr="00834C93">
        <w:rPr>
          <w:rFonts w:ascii="Arial" w:hAnsi="Arial" w:cs="Arial"/>
          <w:b/>
          <w:sz w:val="20"/>
          <w:szCs w:val="20"/>
        </w:rPr>
        <w:t>Core Policy CP9</w:t>
      </w:r>
      <w:r>
        <w:rPr>
          <w:rFonts w:ascii="Arial" w:hAnsi="Arial" w:cs="Arial"/>
          <w:b/>
          <w:sz w:val="20"/>
          <w:szCs w:val="20"/>
        </w:rPr>
        <w:t xml:space="preserve"> </w:t>
      </w:r>
      <w:r>
        <w:rPr>
          <w:rFonts w:ascii="Arial" w:hAnsi="Arial" w:cs="Arial"/>
          <w:sz w:val="20"/>
          <w:szCs w:val="20"/>
        </w:rPr>
        <w:t xml:space="preserve">states the Council will negotiate the tenure, size and type of affordable units on a site by site basis having regard to housing needs, site specifics and other factors. </w:t>
      </w:r>
      <w:r w:rsidR="00880357">
        <w:rPr>
          <w:rFonts w:ascii="Arial" w:hAnsi="Arial" w:cs="Arial"/>
          <w:sz w:val="20"/>
          <w:szCs w:val="20"/>
        </w:rPr>
        <w:t xml:space="preserve">The supporting text states that viability evidence indicates that a tenure split of 50% </w:t>
      </w:r>
      <w:r w:rsidR="00880357" w:rsidRPr="00880357">
        <w:rPr>
          <w:rFonts w:ascii="Arial" w:hAnsi="Arial" w:cs="Arial"/>
          <w:sz w:val="20"/>
          <w:szCs w:val="20"/>
        </w:rPr>
        <w:t>affordable rent and 50% intermediate tenure would be viable for the majority of sites</w:t>
      </w:r>
      <w:r w:rsidR="00880357">
        <w:rPr>
          <w:rFonts w:ascii="Arial" w:hAnsi="Arial" w:cs="Arial"/>
          <w:sz w:val="20"/>
          <w:szCs w:val="20"/>
        </w:rPr>
        <w:t>.</w:t>
      </w:r>
    </w:p>
    <w:p w14:paraId="603F7553" w14:textId="49DC9FB9" w:rsidR="00880357" w:rsidRDefault="00880357" w:rsidP="00193995">
      <w:pPr>
        <w:spacing w:line="360" w:lineRule="auto"/>
        <w:ind w:left="720" w:hanging="720"/>
        <w:jc w:val="both"/>
        <w:rPr>
          <w:rFonts w:ascii="Arial" w:hAnsi="Arial" w:cs="Arial"/>
          <w:b/>
          <w:i/>
          <w:sz w:val="20"/>
          <w:szCs w:val="20"/>
        </w:rPr>
      </w:pPr>
      <w:r>
        <w:rPr>
          <w:rFonts w:ascii="Arial" w:hAnsi="Arial" w:cs="Arial"/>
          <w:b/>
          <w:i/>
          <w:sz w:val="20"/>
          <w:szCs w:val="20"/>
        </w:rPr>
        <w:t>Mix</w:t>
      </w:r>
    </w:p>
    <w:p w14:paraId="2FE860FD" w14:textId="38E24D82" w:rsidR="00880357" w:rsidRDefault="00880357" w:rsidP="00193995">
      <w:pPr>
        <w:spacing w:line="360" w:lineRule="auto"/>
        <w:ind w:left="720" w:hanging="720"/>
        <w:jc w:val="both"/>
        <w:rPr>
          <w:rFonts w:ascii="Arial" w:hAnsi="Arial" w:cs="Arial"/>
          <w:sz w:val="20"/>
          <w:szCs w:val="20"/>
        </w:rPr>
      </w:pPr>
      <w:r>
        <w:rPr>
          <w:rFonts w:ascii="Arial" w:hAnsi="Arial" w:cs="Arial"/>
          <w:sz w:val="20"/>
          <w:szCs w:val="20"/>
        </w:rPr>
        <w:t>3.6</w:t>
      </w:r>
      <w:r>
        <w:rPr>
          <w:rFonts w:ascii="Arial" w:hAnsi="Arial" w:cs="Arial"/>
          <w:sz w:val="20"/>
          <w:szCs w:val="20"/>
        </w:rPr>
        <w:tab/>
        <w:t xml:space="preserve">As above, </w:t>
      </w:r>
      <w:r>
        <w:rPr>
          <w:rFonts w:ascii="Arial" w:hAnsi="Arial" w:cs="Arial"/>
          <w:b/>
          <w:sz w:val="20"/>
          <w:szCs w:val="20"/>
        </w:rPr>
        <w:t xml:space="preserve">Core Policy CP9 </w:t>
      </w:r>
      <w:r>
        <w:rPr>
          <w:rFonts w:ascii="Arial" w:hAnsi="Arial" w:cs="Arial"/>
          <w:sz w:val="20"/>
          <w:szCs w:val="20"/>
        </w:rPr>
        <w:t>states</w:t>
      </w:r>
      <w:r w:rsidR="001C3003">
        <w:rPr>
          <w:rFonts w:ascii="Arial" w:hAnsi="Arial" w:cs="Arial"/>
          <w:sz w:val="20"/>
          <w:szCs w:val="20"/>
        </w:rPr>
        <w:t xml:space="preserve"> the</w:t>
      </w:r>
      <w:r>
        <w:rPr>
          <w:rFonts w:ascii="Arial" w:hAnsi="Arial" w:cs="Arial"/>
          <w:sz w:val="20"/>
          <w:szCs w:val="20"/>
        </w:rPr>
        <w:t xml:space="preserve"> mix will be negotiated on a site-by-site basis. </w:t>
      </w:r>
      <w:r w:rsidR="00012AB5">
        <w:rPr>
          <w:rFonts w:ascii="Arial" w:hAnsi="Arial" w:cs="Arial"/>
          <w:sz w:val="20"/>
          <w:szCs w:val="20"/>
        </w:rPr>
        <w:t xml:space="preserve">The Planning Obligations SPD states that in order to create balanced communities, the mix of affordable housing should broadly reflect the mix of market housing on the site. </w:t>
      </w:r>
    </w:p>
    <w:p w14:paraId="13C973C8" w14:textId="72764864" w:rsidR="00012AB5" w:rsidRDefault="00B56E9A" w:rsidP="00193995">
      <w:pPr>
        <w:spacing w:line="360" w:lineRule="auto"/>
        <w:ind w:left="720" w:hanging="720"/>
        <w:jc w:val="both"/>
        <w:rPr>
          <w:rFonts w:ascii="Arial" w:hAnsi="Arial" w:cs="Arial"/>
          <w:b/>
          <w:i/>
          <w:sz w:val="20"/>
          <w:szCs w:val="20"/>
        </w:rPr>
      </w:pPr>
      <w:r>
        <w:rPr>
          <w:rFonts w:ascii="Arial" w:hAnsi="Arial" w:cs="Arial"/>
          <w:b/>
          <w:i/>
          <w:sz w:val="20"/>
          <w:szCs w:val="20"/>
        </w:rPr>
        <w:t xml:space="preserve">Design, </w:t>
      </w:r>
      <w:r w:rsidR="00012AB5" w:rsidRPr="00012AB5">
        <w:rPr>
          <w:rFonts w:ascii="Arial" w:hAnsi="Arial" w:cs="Arial"/>
          <w:b/>
          <w:i/>
          <w:sz w:val="20"/>
          <w:szCs w:val="20"/>
        </w:rPr>
        <w:t xml:space="preserve">Location and Distribution </w:t>
      </w:r>
    </w:p>
    <w:p w14:paraId="768AD1AD" w14:textId="04CDF2BD" w:rsidR="004D7C37" w:rsidRDefault="004D7C37" w:rsidP="00193995">
      <w:pPr>
        <w:spacing w:line="360" w:lineRule="auto"/>
        <w:ind w:left="720" w:hanging="720"/>
        <w:jc w:val="both"/>
        <w:rPr>
          <w:rFonts w:ascii="Arial" w:hAnsi="Arial" w:cs="Arial"/>
          <w:sz w:val="20"/>
          <w:szCs w:val="20"/>
        </w:rPr>
      </w:pPr>
      <w:r>
        <w:rPr>
          <w:rFonts w:ascii="Arial" w:hAnsi="Arial" w:cs="Arial"/>
          <w:sz w:val="20"/>
          <w:szCs w:val="20"/>
        </w:rPr>
        <w:t>3.7</w:t>
      </w:r>
      <w:r>
        <w:rPr>
          <w:rFonts w:ascii="Arial" w:hAnsi="Arial" w:cs="Arial"/>
          <w:sz w:val="20"/>
          <w:szCs w:val="20"/>
        </w:rPr>
        <w:tab/>
      </w:r>
      <w:r w:rsidR="00B56E9A">
        <w:rPr>
          <w:rFonts w:ascii="Arial" w:hAnsi="Arial" w:cs="Arial"/>
          <w:sz w:val="20"/>
          <w:szCs w:val="20"/>
        </w:rPr>
        <w:t xml:space="preserve">As with market housing, the Planning Obligations SPD states the Council expects affordable housing to be well designed and built to a high standard. The affordable and market housing should be indistinguishable by location, design, external appearance or parking arrangements. </w:t>
      </w:r>
    </w:p>
    <w:p w14:paraId="21C3AE28" w14:textId="20FF3875" w:rsidR="00012AB5" w:rsidRDefault="004D7C37" w:rsidP="00193995">
      <w:pPr>
        <w:spacing w:line="360" w:lineRule="auto"/>
        <w:ind w:left="720" w:hanging="720"/>
        <w:jc w:val="both"/>
        <w:rPr>
          <w:rFonts w:ascii="Arial" w:hAnsi="Arial" w:cs="Arial"/>
          <w:sz w:val="20"/>
          <w:szCs w:val="20"/>
        </w:rPr>
      </w:pPr>
      <w:r>
        <w:rPr>
          <w:rFonts w:ascii="Arial" w:hAnsi="Arial" w:cs="Arial"/>
          <w:sz w:val="20"/>
          <w:szCs w:val="20"/>
        </w:rPr>
        <w:t>3.8</w:t>
      </w:r>
      <w:r w:rsidR="00012AB5">
        <w:rPr>
          <w:rFonts w:ascii="Arial" w:hAnsi="Arial" w:cs="Arial"/>
          <w:sz w:val="20"/>
          <w:szCs w:val="20"/>
        </w:rPr>
        <w:tab/>
      </w:r>
      <w:r>
        <w:rPr>
          <w:rFonts w:ascii="Arial" w:hAnsi="Arial" w:cs="Arial"/>
          <w:sz w:val="20"/>
          <w:szCs w:val="20"/>
        </w:rPr>
        <w:t xml:space="preserve">The Planning Obligations SPD states that small clusters of </w:t>
      </w:r>
      <w:r w:rsidR="00B56E9A">
        <w:rPr>
          <w:rFonts w:ascii="Arial" w:hAnsi="Arial" w:cs="Arial"/>
          <w:sz w:val="20"/>
          <w:szCs w:val="20"/>
        </w:rPr>
        <w:t xml:space="preserve">affordable homes will be acceptable to the Council, but these clusters should not exceed a maximum of 8 houses or 21 flats on larger schemes, unless site constraints or compelling design reasons suggest that this number </w:t>
      </w:r>
      <w:r w:rsidR="00B56E9A">
        <w:rPr>
          <w:rFonts w:ascii="Arial" w:hAnsi="Arial" w:cs="Arial"/>
          <w:sz w:val="20"/>
          <w:szCs w:val="20"/>
        </w:rPr>
        <w:lastRenderedPageBreak/>
        <w:t xml:space="preserve">can be exceeded without compromising the Council’s aim to create mixed and sustainable communities. </w:t>
      </w:r>
    </w:p>
    <w:p w14:paraId="7A25928E" w14:textId="2292E0E8" w:rsidR="00B56E9A" w:rsidRDefault="00B56E9A" w:rsidP="00193995">
      <w:pPr>
        <w:spacing w:line="360" w:lineRule="auto"/>
        <w:ind w:left="720" w:hanging="720"/>
        <w:jc w:val="both"/>
        <w:rPr>
          <w:rFonts w:ascii="Arial" w:hAnsi="Arial" w:cs="Arial"/>
          <w:b/>
          <w:i/>
          <w:sz w:val="20"/>
          <w:szCs w:val="20"/>
        </w:rPr>
      </w:pPr>
      <w:r>
        <w:rPr>
          <w:rFonts w:ascii="Arial" w:hAnsi="Arial" w:cs="Arial"/>
          <w:b/>
          <w:i/>
          <w:sz w:val="20"/>
          <w:szCs w:val="20"/>
        </w:rPr>
        <w:t xml:space="preserve">Delivery </w:t>
      </w:r>
    </w:p>
    <w:p w14:paraId="77CAF25A" w14:textId="2DEFCDEF" w:rsidR="00B56E9A" w:rsidRPr="00B56E9A" w:rsidRDefault="00B56E9A" w:rsidP="00193995">
      <w:pPr>
        <w:spacing w:line="360" w:lineRule="auto"/>
        <w:ind w:left="720" w:hanging="720"/>
        <w:jc w:val="both"/>
        <w:rPr>
          <w:rFonts w:ascii="Arial" w:hAnsi="Arial" w:cs="Arial"/>
          <w:sz w:val="20"/>
          <w:szCs w:val="20"/>
        </w:rPr>
      </w:pPr>
      <w:r>
        <w:rPr>
          <w:rFonts w:ascii="Arial" w:hAnsi="Arial" w:cs="Arial"/>
          <w:sz w:val="20"/>
          <w:szCs w:val="20"/>
        </w:rPr>
        <w:t>3.9</w:t>
      </w:r>
      <w:r>
        <w:rPr>
          <w:rFonts w:ascii="Arial" w:hAnsi="Arial" w:cs="Arial"/>
          <w:sz w:val="20"/>
          <w:szCs w:val="20"/>
        </w:rPr>
        <w:tab/>
      </w:r>
      <w:r w:rsidR="00763B7A">
        <w:rPr>
          <w:rFonts w:ascii="Arial" w:hAnsi="Arial" w:cs="Arial"/>
          <w:sz w:val="20"/>
          <w:szCs w:val="20"/>
        </w:rPr>
        <w:t xml:space="preserve">The SPD states that affordable housing agreed through negotiation, including any specified financial contribution, is normally secured via a legal agreement (S.106 </w:t>
      </w:r>
      <w:r w:rsidR="00CA4C9A">
        <w:rPr>
          <w:rFonts w:ascii="Arial" w:hAnsi="Arial" w:cs="Arial"/>
          <w:sz w:val="20"/>
          <w:szCs w:val="20"/>
        </w:rPr>
        <w:t>Agreement</w:t>
      </w:r>
      <w:r w:rsidR="00763B7A">
        <w:rPr>
          <w:rFonts w:ascii="Arial" w:hAnsi="Arial" w:cs="Arial"/>
          <w:sz w:val="20"/>
          <w:szCs w:val="20"/>
        </w:rPr>
        <w:t xml:space="preserve"> or Unilateral Undertaking). </w:t>
      </w:r>
    </w:p>
    <w:p w14:paraId="1B2C3C71" w14:textId="77777777" w:rsidR="00012AB5" w:rsidRPr="00012AB5" w:rsidRDefault="00012AB5" w:rsidP="00193995">
      <w:pPr>
        <w:spacing w:line="360" w:lineRule="auto"/>
        <w:ind w:left="720" w:hanging="720"/>
        <w:jc w:val="both"/>
        <w:rPr>
          <w:rFonts w:ascii="Arial" w:hAnsi="Arial" w:cs="Arial"/>
          <w:b/>
          <w:sz w:val="20"/>
          <w:szCs w:val="20"/>
        </w:rPr>
      </w:pPr>
    </w:p>
    <w:p w14:paraId="33DBD7CC" w14:textId="0B6F384D" w:rsidR="00B47083" w:rsidRPr="00B47083" w:rsidRDefault="00B47083" w:rsidP="00193995">
      <w:pPr>
        <w:spacing w:line="360" w:lineRule="auto"/>
        <w:ind w:left="720" w:hanging="720"/>
        <w:jc w:val="both"/>
        <w:rPr>
          <w:rFonts w:ascii="Arial" w:hAnsi="Arial" w:cs="Arial"/>
          <w:sz w:val="20"/>
          <w:szCs w:val="20"/>
        </w:rPr>
      </w:pPr>
    </w:p>
    <w:p w14:paraId="28759C8C" w14:textId="77777777" w:rsidR="00B47083" w:rsidRDefault="00B47083" w:rsidP="00193995">
      <w:pPr>
        <w:spacing w:line="360" w:lineRule="auto"/>
        <w:ind w:left="720"/>
        <w:jc w:val="both"/>
        <w:rPr>
          <w:rFonts w:ascii="Arial" w:hAnsi="Arial" w:cs="Arial"/>
          <w:i/>
          <w:sz w:val="20"/>
          <w:szCs w:val="20"/>
        </w:rPr>
      </w:pPr>
    </w:p>
    <w:p w14:paraId="53FD709E" w14:textId="77777777" w:rsidR="00B47083" w:rsidRDefault="00B47083" w:rsidP="00193995">
      <w:pPr>
        <w:spacing w:line="360" w:lineRule="auto"/>
        <w:ind w:left="720"/>
        <w:jc w:val="both"/>
        <w:rPr>
          <w:rFonts w:ascii="Arial" w:hAnsi="Arial" w:cs="Arial"/>
          <w:i/>
          <w:sz w:val="20"/>
          <w:szCs w:val="20"/>
        </w:rPr>
      </w:pPr>
    </w:p>
    <w:p w14:paraId="5C8DCC14" w14:textId="77777777" w:rsidR="00B47083" w:rsidRDefault="00B47083" w:rsidP="00193995">
      <w:pPr>
        <w:spacing w:line="360" w:lineRule="auto"/>
        <w:ind w:left="720"/>
        <w:jc w:val="both"/>
        <w:rPr>
          <w:rFonts w:ascii="Arial" w:hAnsi="Arial" w:cs="Arial"/>
          <w:i/>
          <w:sz w:val="20"/>
          <w:szCs w:val="20"/>
        </w:rPr>
      </w:pPr>
    </w:p>
    <w:p w14:paraId="607C9676" w14:textId="368DE460" w:rsidR="00E82B3F" w:rsidRDefault="00E82B3F" w:rsidP="00193995">
      <w:pPr>
        <w:spacing w:line="360" w:lineRule="auto"/>
        <w:ind w:left="720" w:hanging="720"/>
        <w:jc w:val="both"/>
        <w:rPr>
          <w:rFonts w:ascii="Arial" w:hAnsi="Arial" w:cs="Arial"/>
          <w:sz w:val="20"/>
        </w:rPr>
      </w:pPr>
    </w:p>
    <w:p w14:paraId="3B592BC6" w14:textId="3E34305F" w:rsidR="00FD2EC3" w:rsidRPr="00B44CBA" w:rsidRDefault="00FD2EC3" w:rsidP="00193995">
      <w:pPr>
        <w:spacing w:line="360" w:lineRule="auto"/>
        <w:jc w:val="both"/>
        <w:rPr>
          <w:rFonts w:ascii="Arial" w:hAnsi="Arial" w:cs="Arial"/>
          <w:i/>
          <w:color w:val="FF0000"/>
          <w:sz w:val="20"/>
        </w:rPr>
      </w:pPr>
      <w:bookmarkStart w:id="8" w:name="_Toc32916052"/>
      <w:bookmarkStart w:id="9" w:name="_Toc32923273"/>
      <w:r w:rsidRPr="00B44CBA">
        <w:rPr>
          <w:i/>
        </w:rPr>
        <w:br w:type="page"/>
      </w:r>
    </w:p>
    <w:p w14:paraId="7CD9F3FB" w14:textId="75243E25" w:rsidR="00763B7A" w:rsidRDefault="00763B7A" w:rsidP="00193995">
      <w:pPr>
        <w:pStyle w:val="Heading1"/>
        <w:spacing w:line="360" w:lineRule="auto"/>
        <w:jc w:val="both"/>
      </w:pPr>
      <w:bookmarkStart w:id="10" w:name="_Toc38040306"/>
      <w:r>
        <w:lastRenderedPageBreak/>
        <w:t>4</w:t>
      </w:r>
      <w:r w:rsidR="007E1560">
        <w:t>.</w:t>
      </w:r>
      <w:r w:rsidR="007E1560">
        <w:tab/>
      </w:r>
      <w:r w:rsidR="009A6D00">
        <w:t>Planning Assessment</w:t>
      </w:r>
      <w:bookmarkEnd w:id="8"/>
      <w:bookmarkEnd w:id="9"/>
      <w:bookmarkEnd w:id="10"/>
      <w:r w:rsidR="009A6D00">
        <w:t xml:space="preserve"> </w:t>
      </w:r>
    </w:p>
    <w:p w14:paraId="0A70FF71" w14:textId="14CE4ABA" w:rsidR="00607CB9" w:rsidRDefault="00607CB9" w:rsidP="00193995">
      <w:pPr>
        <w:jc w:val="both"/>
      </w:pPr>
    </w:p>
    <w:p w14:paraId="161FA1AD" w14:textId="08412FD3" w:rsidR="002C542B" w:rsidRDefault="00763B7A" w:rsidP="00193995">
      <w:pPr>
        <w:spacing w:line="360" w:lineRule="auto"/>
        <w:ind w:left="720" w:hanging="720"/>
        <w:jc w:val="both"/>
        <w:rPr>
          <w:rFonts w:ascii="Arial" w:hAnsi="Arial" w:cs="Arial"/>
          <w:sz w:val="20"/>
        </w:rPr>
      </w:pPr>
      <w:r>
        <w:rPr>
          <w:rFonts w:ascii="Arial" w:hAnsi="Arial" w:cs="Arial"/>
          <w:sz w:val="20"/>
        </w:rPr>
        <w:t>4</w:t>
      </w:r>
      <w:r w:rsidR="00A875E3">
        <w:rPr>
          <w:rFonts w:ascii="Arial" w:hAnsi="Arial" w:cs="Arial"/>
          <w:sz w:val="20"/>
        </w:rPr>
        <w:t>.1</w:t>
      </w:r>
      <w:r w:rsidR="00A875E3">
        <w:rPr>
          <w:rFonts w:ascii="Arial" w:hAnsi="Arial" w:cs="Arial"/>
          <w:sz w:val="20"/>
        </w:rPr>
        <w:tab/>
      </w:r>
      <w:r w:rsidR="002C542B">
        <w:rPr>
          <w:rFonts w:ascii="Arial" w:hAnsi="Arial" w:cs="Arial"/>
          <w:sz w:val="20"/>
        </w:rPr>
        <w:t>The hybrid application for the proposed development is to provide</w:t>
      </w:r>
      <w:r w:rsidR="008C0E88">
        <w:rPr>
          <w:rFonts w:ascii="Arial" w:hAnsi="Arial" w:cs="Arial"/>
          <w:sz w:val="20"/>
        </w:rPr>
        <w:t xml:space="preserve"> up to</w:t>
      </w:r>
      <w:r w:rsidR="002C542B">
        <w:rPr>
          <w:rFonts w:ascii="Arial" w:hAnsi="Arial" w:cs="Arial"/>
          <w:sz w:val="20"/>
        </w:rPr>
        <w:t xml:space="preserve"> 169 affordable dwellings as part of the Outline application and 69 affordable dwellings as part of the Full application, which equates to 30% of the total number of dwellings and therefore is in accordance with Core Policy CP9.</w:t>
      </w:r>
    </w:p>
    <w:p w14:paraId="3F4948CD" w14:textId="42DEAB7A" w:rsidR="00A0702B" w:rsidRPr="006D4BF2" w:rsidRDefault="006D4BF2" w:rsidP="00193995">
      <w:pPr>
        <w:spacing w:line="360" w:lineRule="auto"/>
        <w:ind w:left="720" w:hanging="720"/>
        <w:jc w:val="both"/>
        <w:rPr>
          <w:rFonts w:ascii="Arial" w:hAnsi="Arial" w:cs="Arial"/>
        </w:rPr>
      </w:pPr>
      <w:r>
        <w:rPr>
          <w:rFonts w:ascii="Arial" w:hAnsi="Arial" w:cs="Arial"/>
          <w:sz w:val="20"/>
        </w:rPr>
        <w:t>4.2</w:t>
      </w:r>
      <w:r>
        <w:rPr>
          <w:rFonts w:ascii="Arial" w:hAnsi="Arial" w:cs="Arial"/>
          <w:sz w:val="20"/>
        </w:rPr>
        <w:tab/>
        <w:t xml:space="preserve">The provision of affordable housing </w:t>
      </w:r>
      <w:r w:rsidR="00A0702B">
        <w:rPr>
          <w:rFonts w:ascii="Arial" w:hAnsi="Arial" w:cs="Arial"/>
          <w:sz w:val="20"/>
        </w:rPr>
        <w:t>will contribute to local housing needs in the district, with 3,694 households on the Council’s Housing Register Waiting List as at 1</w:t>
      </w:r>
      <w:r w:rsidR="00A0702B" w:rsidRPr="00A0702B">
        <w:rPr>
          <w:rFonts w:ascii="Arial" w:hAnsi="Arial" w:cs="Arial"/>
          <w:sz w:val="20"/>
          <w:vertAlign w:val="superscript"/>
        </w:rPr>
        <w:t>st</w:t>
      </w:r>
      <w:r w:rsidR="00A0702B">
        <w:rPr>
          <w:rFonts w:ascii="Arial" w:hAnsi="Arial" w:cs="Arial"/>
          <w:sz w:val="20"/>
        </w:rPr>
        <w:t xml:space="preserve"> April 2019. </w:t>
      </w:r>
      <w:r w:rsidR="00403EAD">
        <w:rPr>
          <w:rFonts w:ascii="Arial" w:hAnsi="Arial" w:cs="Arial"/>
          <w:sz w:val="20"/>
        </w:rPr>
        <w:t>614</w:t>
      </w:r>
      <w:r w:rsidR="00A0702B">
        <w:rPr>
          <w:rFonts w:ascii="Arial" w:hAnsi="Arial" w:cs="Arial"/>
          <w:sz w:val="20"/>
        </w:rPr>
        <w:t xml:space="preserve"> households specified a requirement for an affordable home in </w:t>
      </w:r>
      <w:r w:rsidR="00403EAD">
        <w:rPr>
          <w:rFonts w:ascii="Arial" w:hAnsi="Arial" w:cs="Arial"/>
          <w:sz w:val="20"/>
        </w:rPr>
        <w:t>the Cam parish</w:t>
      </w:r>
      <w:r w:rsidR="00A0702B">
        <w:rPr>
          <w:rFonts w:ascii="Arial" w:hAnsi="Arial" w:cs="Arial"/>
          <w:sz w:val="20"/>
        </w:rPr>
        <w:t xml:space="preserve">. </w:t>
      </w:r>
    </w:p>
    <w:p w14:paraId="3E0D455A" w14:textId="202C3956" w:rsidR="00E61FF0" w:rsidRPr="000A102F" w:rsidRDefault="006D4BF2" w:rsidP="00193995">
      <w:pPr>
        <w:spacing w:line="360" w:lineRule="auto"/>
        <w:ind w:left="720" w:hanging="720"/>
        <w:jc w:val="both"/>
        <w:rPr>
          <w:rFonts w:ascii="Arial" w:hAnsi="Arial" w:cs="Arial"/>
          <w:sz w:val="20"/>
        </w:rPr>
      </w:pPr>
      <w:r>
        <w:rPr>
          <w:rFonts w:ascii="Arial" w:hAnsi="Arial" w:cs="Arial"/>
          <w:sz w:val="20"/>
        </w:rPr>
        <w:t>4.3</w:t>
      </w:r>
      <w:r w:rsidR="00607CB9">
        <w:rPr>
          <w:rFonts w:ascii="Arial" w:hAnsi="Arial" w:cs="Arial"/>
          <w:sz w:val="20"/>
        </w:rPr>
        <w:tab/>
        <w:t xml:space="preserve">The </w:t>
      </w:r>
      <w:r w:rsidR="00403EAD">
        <w:rPr>
          <w:rFonts w:ascii="Arial" w:hAnsi="Arial" w:cs="Arial"/>
          <w:sz w:val="20"/>
        </w:rPr>
        <w:t xml:space="preserve">Full </w:t>
      </w:r>
      <w:r w:rsidR="00607CB9">
        <w:rPr>
          <w:rFonts w:ascii="Arial" w:hAnsi="Arial" w:cs="Arial"/>
          <w:sz w:val="20"/>
        </w:rPr>
        <w:t xml:space="preserve">application proposes the affordable tenure and mix as set out </w:t>
      </w:r>
      <w:r w:rsidR="00607CB9" w:rsidRPr="000A102F">
        <w:rPr>
          <w:rFonts w:ascii="Arial" w:hAnsi="Arial" w:cs="Arial"/>
          <w:color w:val="000000" w:themeColor="text1"/>
          <w:sz w:val="20"/>
        </w:rPr>
        <w:t xml:space="preserve">in </w:t>
      </w:r>
      <w:r w:rsidR="002F3BF0">
        <w:rPr>
          <w:rFonts w:ascii="Arial" w:hAnsi="Arial" w:cs="Arial"/>
          <w:color w:val="000000" w:themeColor="text1"/>
          <w:sz w:val="20"/>
        </w:rPr>
        <w:t>table 2</w:t>
      </w:r>
      <w:r w:rsidR="00607CB9" w:rsidRPr="000A102F">
        <w:rPr>
          <w:rFonts w:ascii="Arial" w:hAnsi="Arial" w:cs="Arial"/>
          <w:color w:val="000000" w:themeColor="text1"/>
          <w:sz w:val="20"/>
        </w:rPr>
        <w:t xml:space="preserve"> below</w:t>
      </w:r>
      <w:r w:rsidR="000A102F" w:rsidRPr="000A102F">
        <w:rPr>
          <w:rFonts w:ascii="Arial" w:hAnsi="Arial" w:cs="Arial"/>
          <w:color w:val="000000" w:themeColor="text1"/>
          <w:sz w:val="20"/>
        </w:rPr>
        <w:t>:</w:t>
      </w:r>
    </w:p>
    <w:p w14:paraId="64EC0622" w14:textId="13719B21" w:rsidR="000A102F" w:rsidRPr="000A102F" w:rsidRDefault="000A102F" w:rsidP="00193995">
      <w:pPr>
        <w:pStyle w:val="Caption"/>
        <w:keepNext/>
        <w:jc w:val="both"/>
      </w:pPr>
      <w:bookmarkStart w:id="11" w:name="_Toc37773948"/>
      <w:r w:rsidRPr="000A102F">
        <w:t xml:space="preserve">Table </w:t>
      </w:r>
      <w:r w:rsidR="00193995">
        <w:fldChar w:fldCharType="begin"/>
      </w:r>
      <w:r w:rsidR="00193995">
        <w:instrText xml:space="preserve"> SEQ Table \* ARABIC </w:instrText>
      </w:r>
      <w:r w:rsidR="00193995">
        <w:fldChar w:fldCharType="separate"/>
      </w:r>
      <w:r w:rsidR="00496D8A">
        <w:rPr>
          <w:noProof/>
        </w:rPr>
        <w:t>2</w:t>
      </w:r>
      <w:r w:rsidR="00193995">
        <w:rPr>
          <w:noProof/>
        </w:rPr>
        <w:fldChar w:fldCharType="end"/>
      </w:r>
      <w:r>
        <w:t>: Proposed mix and tenure of affordable housing</w:t>
      </w:r>
      <w:bookmarkEnd w:id="11"/>
      <w:r w:rsidR="00403EAD">
        <w:t xml:space="preserve"> for the Full application</w:t>
      </w:r>
    </w:p>
    <w:tbl>
      <w:tblPr>
        <w:tblStyle w:val="TableGrid"/>
        <w:tblW w:w="0" w:type="auto"/>
        <w:tblInd w:w="351" w:type="dxa"/>
        <w:tblLook w:val="04A0" w:firstRow="1" w:lastRow="0" w:firstColumn="1" w:lastColumn="0" w:noHBand="0" w:noVBand="1"/>
      </w:tblPr>
      <w:tblGrid>
        <w:gridCol w:w="1546"/>
        <w:gridCol w:w="820"/>
        <w:gridCol w:w="1183"/>
        <w:gridCol w:w="749"/>
        <w:gridCol w:w="1183"/>
        <w:gridCol w:w="817"/>
        <w:gridCol w:w="1183"/>
        <w:gridCol w:w="815"/>
      </w:tblGrid>
      <w:tr w:rsidR="00D8015E" w:rsidRPr="00607CB9" w14:paraId="61862D56" w14:textId="77777777" w:rsidTr="00795D3E">
        <w:tc>
          <w:tcPr>
            <w:tcW w:w="2366" w:type="dxa"/>
            <w:gridSpan w:val="2"/>
          </w:tcPr>
          <w:p w14:paraId="00EB0FF5" w14:textId="77777777" w:rsidR="00D8015E" w:rsidRPr="00B31775" w:rsidRDefault="00D8015E" w:rsidP="00193995">
            <w:pPr>
              <w:spacing w:line="360" w:lineRule="auto"/>
              <w:jc w:val="both"/>
              <w:rPr>
                <w:rFonts w:ascii="Arial" w:hAnsi="Arial" w:cs="Arial"/>
                <w:b/>
                <w:color w:val="000000" w:themeColor="text1"/>
                <w:sz w:val="20"/>
              </w:rPr>
            </w:pPr>
          </w:p>
        </w:tc>
        <w:tc>
          <w:tcPr>
            <w:tcW w:w="1932" w:type="dxa"/>
            <w:gridSpan w:val="2"/>
          </w:tcPr>
          <w:p w14:paraId="01A23213" w14:textId="59DCA677" w:rsidR="00D8015E" w:rsidRPr="00B31775" w:rsidRDefault="00D8015E" w:rsidP="00193995">
            <w:pPr>
              <w:spacing w:line="360" w:lineRule="auto"/>
              <w:jc w:val="both"/>
              <w:rPr>
                <w:rFonts w:ascii="Arial" w:hAnsi="Arial" w:cs="Arial"/>
                <w:b/>
                <w:color w:val="000000" w:themeColor="text1"/>
                <w:sz w:val="20"/>
              </w:rPr>
            </w:pPr>
            <w:r w:rsidRPr="00B31775">
              <w:rPr>
                <w:rFonts w:ascii="Arial" w:hAnsi="Arial" w:cs="Arial"/>
                <w:b/>
                <w:color w:val="000000" w:themeColor="text1"/>
                <w:sz w:val="20"/>
              </w:rPr>
              <w:t>Total</w:t>
            </w:r>
          </w:p>
        </w:tc>
        <w:tc>
          <w:tcPr>
            <w:tcW w:w="2000" w:type="dxa"/>
            <w:gridSpan w:val="2"/>
          </w:tcPr>
          <w:p w14:paraId="4667AFA2" w14:textId="2EB69556" w:rsidR="00D8015E" w:rsidRPr="00B31775" w:rsidRDefault="00D8015E" w:rsidP="00193995">
            <w:pPr>
              <w:spacing w:line="360" w:lineRule="auto"/>
              <w:jc w:val="both"/>
              <w:rPr>
                <w:rFonts w:ascii="Arial" w:hAnsi="Arial" w:cs="Arial"/>
                <w:b/>
                <w:color w:val="000000" w:themeColor="text1"/>
                <w:sz w:val="20"/>
              </w:rPr>
            </w:pPr>
            <w:r w:rsidRPr="00B31775">
              <w:rPr>
                <w:rFonts w:ascii="Arial" w:hAnsi="Arial" w:cs="Arial"/>
                <w:b/>
                <w:color w:val="000000" w:themeColor="text1"/>
                <w:sz w:val="20"/>
              </w:rPr>
              <w:t>Affordable Rented</w:t>
            </w:r>
          </w:p>
        </w:tc>
        <w:tc>
          <w:tcPr>
            <w:tcW w:w="1998" w:type="dxa"/>
            <w:gridSpan w:val="2"/>
          </w:tcPr>
          <w:p w14:paraId="12C9C48E" w14:textId="2D8BE341" w:rsidR="00D8015E" w:rsidRPr="00B31775" w:rsidRDefault="00D8015E" w:rsidP="00193995">
            <w:pPr>
              <w:spacing w:line="360" w:lineRule="auto"/>
              <w:jc w:val="both"/>
              <w:rPr>
                <w:rFonts w:ascii="Arial" w:hAnsi="Arial" w:cs="Arial"/>
                <w:b/>
                <w:color w:val="000000" w:themeColor="text1"/>
                <w:sz w:val="20"/>
              </w:rPr>
            </w:pPr>
            <w:r w:rsidRPr="00B31775">
              <w:rPr>
                <w:rFonts w:ascii="Arial" w:hAnsi="Arial" w:cs="Arial"/>
                <w:b/>
                <w:color w:val="000000" w:themeColor="text1"/>
                <w:sz w:val="20"/>
              </w:rPr>
              <w:t>Shared Ownership</w:t>
            </w:r>
          </w:p>
        </w:tc>
      </w:tr>
      <w:tr w:rsidR="007B02DA" w:rsidRPr="00607CB9" w14:paraId="1964F7A0" w14:textId="77777777" w:rsidTr="00D8015E">
        <w:tc>
          <w:tcPr>
            <w:tcW w:w="1546" w:type="dxa"/>
            <w:vAlign w:val="center"/>
          </w:tcPr>
          <w:p w14:paraId="73862D75" w14:textId="0D0AB95A" w:rsidR="007B02DA" w:rsidRPr="00B31775" w:rsidRDefault="007B02DA" w:rsidP="00193995">
            <w:pPr>
              <w:spacing w:line="360" w:lineRule="auto"/>
              <w:jc w:val="both"/>
              <w:rPr>
                <w:rFonts w:ascii="Arial" w:hAnsi="Arial" w:cs="Arial"/>
                <w:b/>
                <w:color w:val="000000" w:themeColor="text1"/>
                <w:sz w:val="20"/>
              </w:rPr>
            </w:pPr>
            <w:r w:rsidRPr="00B31775">
              <w:rPr>
                <w:rFonts w:ascii="Arial" w:hAnsi="Arial" w:cs="Arial"/>
                <w:b/>
                <w:color w:val="000000" w:themeColor="text1"/>
                <w:sz w:val="20"/>
              </w:rPr>
              <w:t>Dwelling Type</w:t>
            </w:r>
          </w:p>
        </w:tc>
        <w:tc>
          <w:tcPr>
            <w:tcW w:w="820" w:type="dxa"/>
            <w:vAlign w:val="center"/>
          </w:tcPr>
          <w:p w14:paraId="42E9C674" w14:textId="703AB760" w:rsidR="007B02DA" w:rsidRPr="00B31775" w:rsidRDefault="007B02DA" w:rsidP="00193995">
            <w:pPr>
              <w:spacing w:line="360" w:lineRule="auto"/>
              <w:jc w:val="both"/>
              <w:rPr>
                <w:rFonts w:ascii="Arial" w:hAnsi="Arial" w:cs="Arial"/>
                <w:b/>
                <w:color w:val="000000" w:themeColor="text1"/>
                <w:sz w:val="20"/>
              </w:rPr>
            </w:pPr>
            <w:r w:rsidRPr="00B31775">
              <w:rPr>
                <w:rFonts w:ascii="Arial" w:hAnsi="Arial" w:cs="Arial"/>
                <w:b/>
                <w:color w:val="000000" w:themeColor="text1"/>
                <w:sz w:val="20"/>
              </w:rPr>
              <w:t>Size</w:t>
            </w:r>
            <w:r w:rsidR="00D8015E" w:rsidRPr="00B31775">
              <w:rPr>
                <w:rFonts w:ascii="Arial" w:hAnsi="Arial" w:cs="Arial"/>
                <w:b/>
                <w:color w:val="000000" w:themeColor="text1"/>
                <w:sz w:val="20"/>
              </w:rPr>
              <w:t xml:space="preserve"> (</w:t>
            </w:r>
            <w:r w:rsidR="003B792C" w:rsidRPr="00B31775">
              <w:rPr>
                <w:rFonts w:ascii="Arial" w:hAnsi="Arial" w:cs="Arial"/>
                <w:b/>
                <w:color w:val="000000" w:themeColor="text1"/>
                <w:sz w:val="20"/>
              </w:rPr>
              <w:t>m</w:t>
            </w:r>
            <w:r w:rsidR="003B792C" w:rsidRPr="00B31775">
              <w:rPr>
                <w:rFonts w:ascii="Arial" w:hAnsi="Arial" w:cs="Arial"/>
                <w:b/>
                <w:color w:val="000000" w:themeColor="text1"/>
                <w:sz w:val="20"/>
                <w:vertAlign w:val="superscript"/>
              </w:rPr>
              <w:t>2</w:t>
            </w:r>
            <w:r w:rsidRPr="00B31775">
              <w:rPr>
                <w:rFonts w:ascii="Arial" w:hAnsi="Arial" w:cs="Arial"/>
                <w:b/>
                <w:color w:val="000000" w:themeColor="text1"/>
                <w:sz w:val="20"/>
              </w:rPr>
              <w:t xml:space="preserve">) </w:t>
            </w:r>
          </w:p>
        </w:tc>
        <w:tc>
          <w:tcPr>
            <w:tcW w:w="1183" w:type="dxa"/>
          </w:tcPr>
          <w:p w14:paraId="4566E3FF" w14:textId="54CFCC9F" w:rsidR="007B02DA" w:rsidRPr="00B31775" w:rsidRDefault="007B02DA" w:rsidP="00193995">
            <w:pPr>
              <w:spacing w:line="360" w:lineRule="auto"/>
              <w:jc w:val="both"/>
              <w:rPr>
                <w:rFonts w:ascii="Arial" w:hAnsi="Arial" w:cs="Arial"/>
                <w:b/>
                <w:color w:val="000000" w:themeColor="text1"/>
                <w:sz w:val="20"/>
              </w:rPr>
            </w:pPr>
            <w:r w:rsidRPr="00B31775">
              <w:rPr>
                <w:rFonts w:ascii="Arial" w:hAnsi="Arial" w:cs="Arial"/>
                <w:b/>
                <w:color w:val="000000" w:themeColor="text1"/>
                <w:sz w:val="20"/>
              </w:rPr>
              <w:t xml:space="preserve">No. of affordable dwellings </w:t>
            </w:r>
          </w:p>
        </w:tc>
        <w:tc>
          <w:tcPr>
            <w:tcW w:w="749" w:type="dxa"/>
            <w:vAlign w:val="center"/>
          </w:tcPr>
          <w:p w14:paraId="7D8ACCF3" w14:textId="7E3D5A42" w:rsidR="007B02DA" w:rsidRPr="00B31775" w:rsidRDefault="007B02DA" w:rsidP="00193995">
            <w:pPr>
              <w:spacing w:line="360" w:lineRule="auto"/>
              <w:jc w:val="both"/>
              <w:rPr>
                <w:rFonts w:ascii="Arial" w:hAnsi="Arial" w:cs="Arial"/>
                <w:b/>
                <w:color w:val="000000" w:themeColor="text1"/>
                <w:sz w:val="20"/>
              </w:rPr>
            </w:pPr>
            <w:r w:rsidRPr="00B31775">
              <w:rPr>
                <w:rFonts w:ascii="Arial" w:hAnsi="Arial" w:cs="Arial"/>
                <w:b/>
                <w:color w:val="000000" w:themeColor="text1"/>
                <w:sz w:val="20"/>
              </w:rPr>
              <w:t>%</w:t>
            </w:r>
          </w:p>
        </w:tc>
        <w:tc>
          <w:tcPr>
            <w:tcW w:w="1183" w:type="dxa"/>
          </w:tcPr>
          <w:p w14:paraId="2262CB5D" w14:textId="0BBBF80C" w:rsidR="007B02DA" w:rsidRPr="00B31775" w:rsidRDefault="007B02DA" w:rsidP="00193995">
            <w:pPr>
              <w:spacing w:line="360" w:lineRule="auto"/>
              <w:jc w:val="both"/>
              <w:rPr>
                <w:rFonts w:ascii="Arial" w:hAnsi="Arial" w:cs="Arial"/>
                <w:b/>
                <w:color w:val="000000" w:themeColor="text1"/>
                <w:sz w:val="20"/>
              </w:rPr>
            </w:pPr>
            <w:r w:rsidRPr="00B31775">
              <w:rPr>
                <w:rFonts w:ascii="Arial" w:hAnsi="Arial" w:cs="Arial"/>
                <w:b/>
                <w:color w:val="000000" w:themeColor="text1"/>
                <w:sz w:val="20"/>
              </w:rPr>
              <w:t>No. of affordable dwellings</w:t>
            </w:r>
          </w:p>
        </w:tc>
        <w:tc>
          <w:tcPr>
            <w:tcW w:w="817" w:type="dxa"/>
            <w:vAlign w:val="center"/>
          </w:tcPr>
          <w:p w14:paraId="50E57266" w14:textId="339547CD" w:rsidR="007B02DA" w:rsidRPr="00B31775" w:rsidRDefault="007B02DA" w:rsidP="00193995">
            <w:pPr>
              <w:spacing w:line="360" w:lineRule="auto"/>
              <w:jc w:val="both"/>
              <w:rPr>
                <w:rFonts w:ascii="Arial" w:hAnsi="Arial" w:cs="Arial"/>
                <w:b/>
                <w:color w:val="000000" w:themeColor="text1"/>
                <w:sz w:val="20"/>
              </w:rPr>
            </w:pPr>
            <w:r w:rsidRPr="00B31775">
              <w:rPr>
                <w:rFonts w:ascii="Arial" w:hAnsi="Arial" w:cs="Arial"/>
                <w:b/>
                <w:color w:val="000000" w:themeColor="text1"/>
                <w:sz w:val="20"/>
              </w:rPr>
              <w:t>%</w:t>
            </w:r>
          </w:p>
        </w:tc>
        <w:tc>
          <w:tcPr>
            <w:tcW w:w="1183" w:type="dxa"/>
          </w:tcPr>
          <w:p w14:paraId="544AE8F5" w14:textId="0C58AC3B" w:rsidR="007B02DA" w:rsidRPr="00B31775" w:rsidRDefault="007B02DA" w:rsidP="00193995">
            <w:pPr>
              <w:spacing w:line="360" w:lineRule="auto"/>
              <w:jc w:val="both"/>
              <w:rPr>
                <w:rFonts w:ascii="Arial" w:hAnsi="Arial" w:cs="Arial"/>
                <w:b/>
                <w:color w:val="000000" w:themeColor="text1"/>
                <w:sz w:val="20"/>
              </w:rPr>
            </w:pPr>
            <w:r w:rsidRPr="00B31775">
              <w:rPr>
                <w:rFonts w:ascii="Arial" w:hAnsi="Arial" w:cs="Arial"/>
                <w:b/>
                <w:color w:val="000000" w:themeColor="text1"/>
                <w:sz w:val="20"/>
              </w:rPr>
              <w:t>No. of affordable dwellings</w:t>
            </w:r>
          </w:p>
        </w:tc>
        <w:tc>
          <w:tcPr>
            <w:tcW w:w="815" w:type="dxa"/>
            <w:vAlign w:val="center"/>
          </w:tcPr>
          <w:p w14:paraId="0D629118" w14:textId="23BC1537" w:rsidR="007B02DA" w:rsidRPr="00B31775" w:rsidRDefault="007B02DA" w:rsidP="00193995">
            <w:pPr>
              <w:spacing w:line="360" w:lineRule="auto"/>
              <w:jc w:val="both"/>
              <w:rPr>
                <w:rFonts w:ascii="Arial" w:hAnsi="Arial" w:cs="Arial"/>
                <w:b/>
                <w:color w:val="000000" w:themeColor="text1"/>
                <w:sz w:val="20"/>
              </w:rPr>
            </w:pPr>
            <w:r w:rsidRPr="00B31775">
              <w:rPr>
                <w:rFonts w:ascii="Arial" w:hAnsi="Arial" w:cs="Arial"/>
                <w:b/>
                <w:color w:val="000000" w:themeColor="text1"/>
                <w:sz w:val="20"/>
              </w:rPr>
              <w:t>%</w:t>
            </w:r>
          </w:p>
        </w:tc>
      </w:tr>
      <w:tr w:rsidR="007B02DA" w:rsidRPr="00607CB9" w14:paraId="2D77AA45" w14:textId="77777777" w:rsidTr="00D8015E">
        <w:tc>
          <w:tcPr>
            <w:tcW w:w="1546" w:type="dxa"/>
            <w:vAlign w:val="center"/>
          </w:tcPr>
          <w:p w14:paraId="08D39946" w14:textId="731BE3ED" w:rsidR="007B02DA" w:rsidRPr="00B31775" w:rsidRDefault="007B02DA" w:rsidP="00193995">
            <w:pPr>
              <w:spacing w:line="360" w:lineRule="auto"/>
              <w:jc w:val="both"/>
              <w:rPr>
                <w:rFonts w:ascii="Arial" w:hAnsi="Arial" w:cs="Arial"/>
                <w:b/>
                <w:color w:val="000000" w:themeColor="text1"/>
                <w:sz w:val="20"/>
              </w:rPr>
            </w:pPr>
            <w:r w:rsidRPr="00B31775">
              <w:rPr>
                <w:rFonts w:ascii="Arial" w:hAnsi="Arial" w:cs="Arial"/>
                <w:b/>
                <w:color w:val="000000" w:themeColor="text1"/>
                <w:sz w:val="20"/>
              </w:rPr>
              <w:t xml:space="preserve">2 bed house </w:t>
            </w:r>
          </w:p>
        </w:tc>
        <w:tc>
          <w:tcPr>
            <w:tcW w:w="820" w:type="dxa"/>
          </w:tcPr>
          <w:p w14:paraId="4F4AF598" w14:textId="4C369C95" w:rsidR="007B02DA" w:rsidRPr="00B31775" w:rsidRDefault="002D4F0E" w:rsidP="00193995">
            <w:pPr>
              <w:spacing w:line="360" w:lineRule="auto"/>
              <w:jc w:val="both"/>
              <w:rPr>
                <w:rFonts w:ascii="Arial" w:hAnsi="Arial" w:cs="Arial"/>
                <w:color w:val="000000" w:themeColor="text1"/>
                <w:sz w:val="20"/>
              </w:rPr>
            </w:pPr>
            <w:r w:rsidRPr="00B31775">
              <w:rPr>
                <w:rFonts w:ascii="Arial" w:hAnsi="Arial" w:cs="Arial"/>
                <w:color w:val="000000" w:themeColor="text1"/>
                <w:sz w:val="20"/>
              </w:rPr>
              <w:t>75</w:t>
            </w:r>
          </w:p>
        </w:tc>
        <w:tc>
          <w:tcPr>
            <w:tcW w:w="1183" w:type="dxa"/>
            <w:vAlign w:val="center"/>
          </w:tcPr>
          <w:p w14:paraId="38ABCCE0" w14:textId="4FEC1720" w:rsidR="007B02DA" w:rsidRPr="00B31775" w:rsidRDefault="000829C7" w:rsidP="00193995">
            <w:pPr>
              <w:spacing w:line="360" w:lineRule="auto"/>
              <w:jc w:val="both"/>
              <w:rPr>
                <w:rFonts w:ascii="Arial" w:hAnsi="Arial" w:cs="Arial"/>
                <w:color w:val="000000" w:themeColor="text1"/>
                <w:sz w:val="20"/>
              </w:rPr>
            </w:pPr>
            <w:r w:rsidRPr="00B31775">
              <w:rPr>
                <w:rFonts w:ascii="Arial" w:hAnsi="Arial" w:cs="Arial"/>
                <w:sz w:val="20"/>
              </w:rPr>
              <w:t>121</w:t>
            </w:r>
          </w:p>
        </w:tc>
        <w:tc>
          <w:tcPr>
            <w:tcW w:w="749" w:type="dxa"/>
            <w:vAlign w:val="center"/>
          </w:tcPr>
          <w:p w14:paraId="31DF7AED" w14:textId="5BE6EA8A" w:rsidR="007B02DA" w:rsidRPr="00B31775" w:rsidRDefault="007B02DA" w:rsidP="00193995">
            <w:pPr>
              <w:spacing w:line="360" w:lineRule="auto"/>
              <w:jc w:val="both"/>
              <w:rPr>
                <w:rFonts w:ascii="Arial" w:hAnsi="Arial" w:cs="Arial"/>
                <w:color w:val="000000" w:themeColor="text1"/>
                <w:sz w:val="20"/>
              </w:rPr>
            </w:pPr>
          </w:p>
        </w:tc>
        <w:tc>
          <w:tcPr>
            <w:tcW w:w="1183" w:type="dxa"/>
            <w:vAlign w:val="center"/>
          </w:tcPr>
          <w:p w14:paraId="657BAFDC" w14:textId="451CC135" w:rsidR="007B02DA" w:rsidRPr="00B31775" w:rsidRDefault="000829C7" w:rsidP="00193995">
            <w:pPr>
              <w:spacing w:line="360" w:lineRule="auto"/>
              <w:jc w:val="both"/>
              <w:rPr>
                <w:rFonts w:ascii="Arial" w:hAnsi="Arial" w:cs="Arial"/>
                <w:color w:val="000000" w:themeColor="text1"/>
                <w:sz w:val="20"/>
              </w:rPr>
            </w:pPr>
            <w:r w:rsidRPr="00B31775">
              <w:rPr>
                <w:rFonts w:ascii="Arial" w:hAnsi="Arial" w:cs="Arial"/>
                <w:color w:val="000000" w:themeColor="text1"/>
                <w:sz w:val="20"/>
              </w:rPr>
              <w:t>61</w:t>
            </w:r>
          </w:p>
        </w:tc>
        <w:tc>
          <w:tcPr>
            <w:tcW w:w="817" w:type="dxa"/>
            <w:vAlign w:val="center"/>
          </w:tcPr>
          <w:p w14:paraId="55167BFD" w14:textId="46561058" w:rsidR="007B02DA" w:rsidRPr="00B31775" w:rsidRDefault="004C0C94" w:rsidP="00193995">
            <w:pPr>
              <w:spacing w:line="360" w:lineRule="auto"/>
              <w:jc w:val="both"/>
              <w:rPr>
                <w:rFonts w:ascii="Arial" w:hAnsi="Arial" w:cs="Arial"/>
                <w:color w:val="000000" w:themeColor="text1"/>
                <w:sz w:val="20"/>
              </w:rPr>
            </w:pPr>
            <w:r w:rsidRPr="00B31775">
              <w:rPr>
                <w:rFonts w:ascii="Arial" w:hAnsi="Arial" w:cs="Arial"/>
                <w:color w:val="000000" w:themeColor="text1"/>
                <w:sz w:val="20"/>
              </w:rPr>
              <w:t>5</w:t>
            </w:r>
            <w:r w:rsidR="00451701" w:rsidRPr="00B31775">
              <w:rPr>
                <w:rFonts w:ascii="Arial" w:hAnsi="Arial" w:cs="Arial"/>
                <w:color w:val="000000" w:themeColor="text1"/>
                <w:sz w:val="20"/>
              </w:rPr>
              <w:t>0</w:t>
            </w:r>
            <w:r w:rsidR="000829C7" w:rsidRPr="00B31775">
              <w:rPr>
                <w:rFonts w:ascii="Arial" w:hAnsi="Arial" w:cs="Arial"/>
                <w:color w:val="000000" w:themeColor="text1"/>
                <w:sz w:val="20"/>
              </w:rPr>
              <w:t>.8</w:t>
            </w:r>
          </w:p>
        </w:tc>
        <w:tc>
          <w:tcPr>
            <w:tcW w:w="1183" w:type="dxa"/>
            <w:vAlign w:val="center"/>
          </w:tcPr>
          <w:p w14:paraId="5A9F766B" w14:textId="7937E7FA" w:rsidR="007B02DA" w:rsidRPr="00B31775" w:rsidRDefault="00451701" w:rsidP="00193995">
            <w:pPr>
              <w:spacing w:line="360" w:lineRule="auto"/>
              <w:jc w:val="both"/>
              <w:rPr>
                <w:rFonts w:ascii="Arial" w:hAnsi="Arial" w:cs="Arial"/>
                <w:color w:val="000000" w:themeColor="text1"/>
                <w:sz w:val="20"/>
              </w:rPr>
            </w:pPr>
            <w:r w:rsidRPr="00B31775">
              <w:rPr>
                <w:rFonts w:ascii="Arial" w:hAnsi="Arial" w:cs="Arial"/>
                <w:color w:val="000000" w:themeColor="text1"/>
                <w:sz w:val="20"/>
              </w:rPr>
              <w:t>60</w:t>
            </w:r>
          </w:p>
        </w:tc>
        <w:tc>
          <w:tcPr>
            <w:tcW w:w="815" w:type="dxa"/>
            <w:vAlign w:val="center"/>
          </w:tcPr>
          <w:p w14:paraId="328EDB16" w14:textId="71C86A8B" w:rsidR="007B02DA" w:rsidRPr="00B31775" w:rsidRDefault="000829C7" w:rsidP="00193995">
            <w:pPr>
              <w:spacing w:line="360" w:lineRule="auto"/>
              <w:jc w:val="both"/>
              <w:rPr>
                <w:rFonts w:ascii="Arial" w:hAnsi="Arial" w:cs="Arial"/>
                <w:color w:val="000000" w:themeColor="text1"/>
                <w:sz w:val="20"/>
              </w:rPr>
            </w:pPr>
            <w:r w:rsidRPr="00B31775">
              <w:rPr>
                <w:rFonts w:ascii="Arial" w:hAnsi="Arial" w:cs="Arial"/>
                <w:color w:val="000000" w:themeColor="text1"/>
                <w:sz w:val="20"/>
              </w:rPr>
              <w:t>49.2</w:t>
            </w:r>
          </w:p>
        </w:tc>
      </w:tr>
      <w:tr w:rsidR="007B02DA" w:rsidRPr="00607CB9" w14:paraId="080FF827" w14:textId="77777777" w:rsidTr="00D8015E">
        <w:tc>
          <w:tcPr>
            <w:tcW w:w="1546" w:type="dxa"/>
            <w:vAlign w:val="center"/>
          </w:tcPr>
          <w:p w14:paraId="2C2D58B2" w14:textId="6C128C87" w:rsidR="007B02DA" w:rsidRPr="00B31775" w:rsidRDefault="007B02DA" w:rsidP="00193995">
            <w:pPr>
              <w:spacing w:line="360" w:lineRule="auto"/>
              <w:jc w:val="both"/>
              <w:rPr>
                <w:rFonts w:ascii="Arial" w:hAnsi="Arial" w:cs="Arial"/>
                <w:b/>
                <w:color w:val="000000" w:themeColor="text1"/>
                <w:sz w:val="20"/>
              </w:rPr>
            </w:pPr>
            <w:r w:rsidRPr="00B31775">
              <w:rPr>
                <w:rFonts w:ascii="Arial" w:hAnsi="Arial" w:cs="Arial"/>
                <w:b/>
                <w:color w:val="000000" w:themeColor="text1"/>
                <w:sz w:val="20"/>
              </w:rPr>
              <w:t xml:space="preserve">3 bed house </w:t>
            </w:r>
          </w:p>
        </w:tc>
        <w:tc>
          <w:tcPr>
            <w:tcW w:w="820" w:type="dxa"/>
          </w:tcPr>
          <w:p w14:paraId="23C774F4" w14:textId="77C5ED08" w:rsidR="007B02DA" w:rsidRPr="00B31775" w:rsidRDefault="002D4F0E" w:rsidP="00193995">
            <w:pPr>
              <w:spacing w:line="360" w:lineRule="auto"/>
              <w:jc w:val="both"/>
              <w:rPr>
                <w:rFonts w:ascii="Arial" w:hAnsi="Arial" w:cs="Arial"/>
                <w:color w:val="000000" w:themeColor="text1"/>
                <w:sz w:val="20"/>
              </w:rPr>
            </w:pPr>
            <w:r w:rsidRPr="00B31775">
              <w:rPr>
                <w:rFonts w:ascii="Arial" w:hAnsi="Arial" w:cs="Arial"/>
                <w:color w:val="000000" w:themeColor="text1"/>
                <w:sz w:val="20"/>
              </w:rPr>
              <w:t>85</w:t>
            </w:r>
          </w:p>
        </w:tc>
        <w:tc>
          <w:tcPr>
            <w:tcW w:w="1183" w:type="dxa"/>
            <w:vAlign w:val="center"/>
          </w:tcPr>
          <w:p w14:paraId="62B06207" w14:textId="61D1CEFE" w:rsidR="007B02DA" w:rsidRPr="00B31775" w:rsidRDefault="000829C7" w:rsidP="00193995">
            <w:pPr>
              <w:spacing w:line="360" w:lineRule="auto"/>
              <w:jc w:val="both"/>
              <w:rPr>
                <w:rFonts w:ascii="Arial" w:hAnsi="Arial" w:cs="Arial"/>
                <w:color w:val="000000" w:themeColor="text1"/>
                <w:sz w:val="20"/>
              </w:rPr>
            </w:pPr>
            <w:r w:rsidRPr="00B31775">
              <w:rPr>
                <w:rFonts w:ascii="Arial" w:hAnsi="Arial" w:cs="Arial"/>
                <w:color w:val="000000" w:themeColor="text1"/>
                <w:sz w:val="20"/>
              </w:rPr>
              <w:t>86</w:t>
            </w:r>
          </w:p>
        </w:tc>
        <w:tc>
          <w:tcPr>
            <w:tcW w:w="749" w:type="dxa"/>
            <w:vAlign w:val="center"/>
          </w:tcPr>
          <w:p w14:paraId="23AD9DAE" w14:textId="399494A1" w:rsidR="007B02DA" w:rsidRPr="00B31775" w:rsidRDefault="007B02DA" w:rsidP="00193995">
            <w:pPr>
              <w:spacing w:line="360" w:lineRule="auto"/>
              <w:jc w:val="both"/>
              <w:rPr>
                <w:rFonts w:ascii="Arial" w:hAnsi="Arial" w:cs="Arial"/>
                <w:color w:val="000000" w:themeColor="text1"/>
                <w:sz w:val="20"/>
              </w:rPr>
            </w:pPr>
          </w:p>
        </w:tc>
        <w:tc>
          <w:tcPr>
            <w:tcW w:w="1183" w:type="dxa"/>
            <w:vAlign w:val="center"/>
          </w:tcPr>
          <w:p w14:paraId="5686EEB5" w14:textId="03EC1FB7" w:rsidR="007B02DA" w:rsidRPr="00B31775" w:rsidRDefault="000829C7" w:rsidP="00193995">
            <w:pPr>
              <w:spacing w:line="360" w:lineRule="auto"/>
              <w:jc w:val="both"/>
              <w:rPr>
                <w:rFonts w:ascii="Arial" w:hAnsi="Arial" w:cs="Arial"/>
                <w:color w:val="000000" w:themeColor="text1"/>
                <w:sz w:val="20"/>
              </w:rPr>
            </w:pPr>
            <w:r w:rsidRPr="00B31775">
              <w:rPr>
                <w:rFonts w:ascii="Arial" w:hAnsi="Arial" w:cs="Arial"/>
                <w:color w:val="000000" w:themeColor="text1"/>
                <w:sz w:val="20"/>
              </w:rPr>
              <w:t>43</w:t>
            </w:r>
          </w:p>
        </w:tc>
        <w:tc>
          <w:tcPr>
            <w:tcW w:w="817" w:type="dxa"/>
            <w:vAlign w:val="center"/>
          </w:tcPr>
          <w:p w14:paraId="11806F12" w14:textId="5F3C373B" w:rsidR="007B02DA" w:rsidRPr="00B31775" w:rsidRDefault="000829C7" w:rsidP="00193995">
            <w:pPr>
              <w:spacing w:line="360" w:lineRule="auto"/>
              <w:jc w:val="both"/>
              <w:rPr>
                <w:rFonts w:ascii="Arial" w:hAnsi="Arial" w:cs="Arial"/>
                <w:color w:val="000000" w:themeColor="text1"/>
                <w:sz w:val="20"/>
              </w:rPr>
            </w:pPr>
            <w:r w:rsidRPr="00B31775">
              <w:rPr>
                <w:rFonts w:ascii="Arial" w:hAnsi="Arial" w:cs="Arial"/>
                <w:color w:val="000000" w:themeColor="text1"/>
                <w:sz w:val="20"/>
              </w:rPr>
              <w:t>50</w:t>
            </w:r>
          </w:p>
        </w:tc>
        <w:tc>
          <w:tcPr>
            <w:tcW w:w="1183" w:type="dxa"/>
            <w:vAlign w:val="center"/>
          </w:tcPr>
          <w:p w14:paraId="0731CCCD" w14:textId="6DB4D14F" w:rsidR="007B02DA" w:rsidRPr="00B31775" w:rsidRDefault="00451701" w:rsidP="00193995">
            <w:pPr>
              <w:spacing w:line="360" w:lineRule="auto"/>
              <w:jc w:val="both"/>
              <w:rPr>
                <w:rFonts w:ascii="Arial" w:hAnsi="Arial" w:cs="Arial"/>
                <w:color w:val="000000" w:themeColor="text1"/>
                <w:sz w:val="20"/>
              </w:rPr>
            </w:pPr>
            <w:r w:rsidRPr="00B31775">
              <w:rPr>
                <w:rFonts w:ascii="Arial" w:hAnsi="Arial" w:cs="Arial"/>
                <w:color w:val="000000" w:themeColor="text1"/>
                <w:sz w:val="20"/>
              </w:rPr>
              <w:t>43</w:t>
            </w:r>
          </w:p>
        </w:tc>
        <w:tc>
          <w:tcPr>
            <w:tcW w:w="815" w:type="dxa"/>
            <w:vAlign w:val="center"/>
          </w:tcPr>
          <w:p w14:paraId="1C8A7DFC" w14:textId="506E19AC" w:rsidR="007B02DA" w:rsidRPr="00B31775" w:rsidRDefault="000829C7" w:rsidP="00193995">
            <w:pPr>
              <w:spacing w:line="360" w:lineRule="auto"/>
              <w:jc w:val="both"/>
              <w:rPr>
                <w:rFonts w:ascii="Arial" w:hAnsi="Arial" w:cs="Arial"/>
                <w:color w:val="000000" w:themeColor="text1"/>
                <w:sz w:val="20"/>
              </w:rPr>
            </w:pPr>
            <w:r w:rsidRPr="00B31775">
              <w:rPr>
                <w:rFonts w:ascii="Arial" w:hAnsi="Arial" w:cs="Arial"/>
                <w:color w:val="000000" w:themeColor="text1"/>
                <w:sz w:val="20"/>
              </w:rPr>
              <w:t>50</w:t>
            </w:r>
          </w:p>
        </w:tc>
      </w:tr>
      <w:tr w:rsidR="007B02DA" w:rsidRPr="00607CB9" w14:paraId="4027A715" w14:textId="77777777" w:rsidTr="00D8015E">
        <w:tc>
          <w:tcPr>
            <w:tcW w:w="1546" w:type="dxa"/>
            <w:vAlign w:val="center"/>
          </w:tcPr>
          <w:p w14:paraId="3D04E9B6" w14:textId="67769FFF" w:rsidR="007B02DA" w:rsidRPr="00B31775" w:rsidRDefault="007B02DA" w:rsidP="00193995">
            <w:pPr>
              <w:spacing w:line="360" w:lineRule="auto"/>
              <w:jc w:val="both"/>
              <w:rPr>
                <w:rFonts w:ascii="Arial" w:hAnsi="Arial" w:cs="Arial"/>
                <w:b/>
                <w:color w:val="000000" w:themeColor="text1"/>
                <w:sz w:val="20"/>
              </w:rPr>
            </w:pPr>
            <w:r w:rsidRPr="00B31775">
              <w:rPr>
                <w:rFonts w:ascii="Arial" w:hAnsi="Arial" w:cs="Arial"/>
                <w:b/>
                <w:color w:val="000000" w:themeColor="text1"/>
                <w:sz w:val="20"/>
              </w:rPr>
              <w:t xml:space="preserve">4 bed house </w:t>
            </w:r>
          </w:p>
        </w:tc>
        <w:tc>
          <w:tcPr>
            <w:tcW w:w="820" w:type="dxa"/>
          </w:tcPr>
          <w:p w14:paraId="312D4E7C" w14:textId="1A9B828A" w:rsidR="007B02DA" w:rsidRPr="00B31775" w:rsidRDefault="002D4F0E" w:rsidP="00193995">
            <w:pPr>
              <w:spacing w:line="360" w:lineRule="auto"/>
              <w:jc w:val="both"/>
              <w:rPr>
                <w:rFonts w:ascii="Arial" w:hAnsi="Arial" w:cs="Arial"/>
                <w:color w:val="000000" w:themeColor="text1"/>
                <w:sz w:val="20"/>
              </w:rPr>
            </w:pPr>
            <w:r w:rsidRPr="00B31775">
              <w:rPr>
                <w:rFonts w:ascii="Arial" w:hAnsi="Arial" w:cs="Arial"/>
                <w:color w:val="000000" w:themeColor="text1"/>
                <w:sz w:val="20"/>
              </w:rPr>
              <w:t>1200</w:t>
            </w:r>
          </w:p>
        </w:tc>
        <w:tc>
          <w:tcPr>
            <w:tcW w:w="1183" w:type="dxa"/>
            <w:vAlign w:val="center"/>
          </w:tcPr>
          <w:p w14:paraId="0086B753" w14:textId="55973129" w:rsidR="007B02DA" w:rsidRPr="00B31775" w:rsidRDefault="00451701" w:rsidP="00193995">
            <w:pPr>
              <w:spacing w:line="360" w:lineRule="auto"/>
              <w:jc w:val="both"/>
              <w:rPr>
                <w:rFonts w:ascii="Arial" w:hAnsi="Arial" w:cs="Arial"/>
                <w:color w:val="000000" w:themeColor="text1"/>
                <w:sz w:val="20"/>
              </w:rPr>
            </w:pPr>
            <w:r w:rsidRPr="00B31775">
              <w:rPr>
                <w:rFonts w:ascii="Arial" w:hAnsi="Arial" w:cs="Arial"/>
                <w:color w:val="000000" w:themeColor="text1"/>
                <w:sz w:val="20"/>
              </w:rPr>
              <w:t>10</w:t>
            </w:r>
          </w:p>
        </w:tc>
        <w:tc>
          <w:tcPr>
            <w:tcW w:w="749" w:type="dxa"/>
            <w:vAlign w:val="center"/>
          </w:tcPr>
          <w:p w14:paraId="4B339436" w14:textId="3252BF14" w:rsidR="007B02DA" w:rsidRPr="00B31775" w:rsidRDefault="007B02DA" w:rsidP="00193995">
            <w:pPr>
              <w:spacing w:line="360" w:lineRule="auto"/>
              <w:jc w:val="both"/>
              <w:rPr>
                <w:rFonts w:ascii="Arial" w:hAnsi="Arial" w:cs="Arial"/>
                <w:color w:val="000000" w:themeColor="text1"/>
                <w:sz w:val="20"/>
              </w:rPr>
            </w:pPr>
          </w:p>
        </w:tc>
        <w:tc>
          <w:tcPr>
            <w:tcW w:w="1183" w:type="dxa"/>
            <w:vAlign w:val="center"/>
          </w:tcPr>
          <w:p w14:paraId="14C9CA24" w14:textId="65E9128B" w:rsidR="007B02DA" w:rsidRPr="00B31775" w:rsidRDefault="00451701" w:rsidP="00193995">
            <w:pPr>
              <w:spacing w:line="360" w:lineRule="auto"/>
              <w:jc w:val="both"/>
              <w:rPr>
                <w:rFonts w:ascii="Arial" w:hAnsi="Arial" w:cs="Arial"/>
                <w:color w:val="000000" w:themeColor="text1"/>
                <w:sz w:val="20"/>
              </w:rPr>
            </w:pPr>
            <w:r w:rsidRPr="00B31775">
              <w:rPr>
                <w:rFonts w:ascii="Arial" w:hAnsi="Arial" w:cs="Arial"/>
                <w:color w:val="000000" w:themeColor="text1"/>
                <w:sz w:val="20"/>
              </w:rPr>
              <w:t>5</w:t>
            </w:r>
          </w:p>
        </w:tc>
        <w:tc>
          <w:tcPr>
            <w:tcW w:w="817" w:type="dxa"/>
            <w:vAlign w:val="center"/>
          </w:tcPr>
          <w:p w14:paraId="1C5C82F3" w14:textId="24072D34" w:rsidR="007B02DA" w:rsidRPr="00B31775" w:rsidRDefault="00451701" w:rsidP="00193995">
            <w:pPr>
              <w:spacing w:line="360" w:lineRule="auto"/>
              <w:jc w:val="both"/>
              <w:rPr>
                <w:rFonts w:ascii="Arial" w:hAnsi="Arial" w:cs="Arial"/>
                <w:color w:val="000000" w:themeColor="text1"/>
                <w:sz w:val="20"/>
              </w:rPr>
            </w:pPr>
            <w:r w:rsidRPr="00B31775">
              <w:rPr>
                <w:rFonts w:ascii="Arial" w:hAnsi="Arial" w:cs="Arial"/>
                <w:color w:val="000000" w:themeColor="text1"/>
                <w:sz w:val="20"/>
              </w:rPr>
              <w:t>50</w:t>
            </w:r>
          </w:p>
        </w:tc>
        <w:tc>
          <w:tcPr>
            <w:tcW w:w="1183" w:type="dxa"/>
            <w:vAlign w:val="center"/>
          </w:tcPr>
          <w:p w14:paraId="24185CC6" w14:textId="50FE27FE" w:rsidR="007B02DA" w:rsidRPr="00B31775" w:rsidRDefault="002D4F0E" w:rsidP="00193995">
            <w:pPr>
              <w:spacing w:line="360" w:lineRule="auto"/>
              <w:jc w:val="both"/>
              <w:rPr>
                <w:rFonts w:ascii="Arial" w:hAnsi="Arial" w:cs="Arial"/>
                <w:color w:val="000000" w:themeColor="text1"/>
                <w:sz w:val="20"/>
              </w:rPr>
            </w:pPr>
            <w:r w:rsidRPr="00B31775">
              <w:rPr>
                <w:rFonts w:ascii="Arial" w:hAnsi="Arial" w:cs="Arial"/>
                <w:color w:val="000000" w:themeColor="text1"/>
                <w:sz w:val="20"/>
              </w:rPr>
              <w:t>5</w:t>
            </w:r>
          </w:p>
        </w:tc>
        <w:tc>
          <w:tcPr>
            <w:tcW w:w="815" w:type="dxa"/>
            <w:vAlign w:val="center"/>
          </w:tcPr>
          <w:p w14:paraId="55ABF01F" w14:textId="4CD981A8" w:rsidR="007B02DA" w:rsidRPr="00B31775" w:rsidRDefault="00451701" w:rsidP="00193995">
            <w:pPr>
              <w:spacing w:line="360" w:lineRule="auto"/>
              <w:jc w:val="both"/>
              <w:rPr>
                <w:rFonts w:ascii="Arial" w:hAnsi="Arial" w:cs="Arial"/>
                <w:color w:val="000000" w:themeColor="text1"/>
                <w:sz w:val="20"/>
              </w:rPr>
            </w:pPr>
            <w:r w:rsidRPr="00B31775">
              <w:rPr>
                <w:rFonts w:ascii="Arial" w:hAnsi="Arial" w:cs="Arial"/>
                <w:color w:val="000000" w:themeColor="text1"/>
                <w:sz w:val="20"/>
              </w:rPr>
              <w:t>50</w:t>
            </w:r>
          </w:p>
        </w:tc>
      </w:tr>
    </w:tbl>
    <w:p w14:paraId="5C8B9209" w14:textId="22D6C831" w:rsidR="002C06AF" w:rsidRDefault="002C06AF" w:rsidP="00193995">
      <w:pPr>
        <w:spacing w:line="360" w:lineRule="auto"/>
        <w:jc w:val="both"/>
        <w:rPr>
          <w:rFonts w:ascii="Arial" w:hAnsi="Arial" w:cs="Arial"/>
          <w:color w:val="FF0000"/>
          <w:sz w:val="20"/>
        </w:rPr>
      </w:pPr>
    </w:p>
    <w:p w14:paraId="24CAB2C1" w14:textId="0D1FC268" w:rsidR="000A102F" w:rsidRDefault="006D4BF2" w:rsidP="00193995">
      <w:pPr>
        <w:spacing w:line="360" w:lineRule="auto"/>
        <w:ind w:left="720" w:hanging="720"/>
        <w:jc w:val="both"/>
        <w:rPr>
          <w:rFonts w:ascii="Arial" w:hAnsi="Arial" w:cs="Arial"/>
          <w:color w:val="000000" w:themeColor="text1"/>
          <w:sz w:val="20"/>
        </w:rPr>
      </w:pPr>
      <w:r>
        <w:rPr>
          <w:rFonts w:ascii="Arial" w:hAnsi="Arial" w:cs="Arial"/>
          <w:color w:val="000000" w:themeColor="text1"/>
          <w:sz w:val="20"/>
        </w:rPr>
        <w:t>4.4</w:t>
      </w:r>
      <w:r w:rsidR="000A102F" w:rsidRPr="000A102F">
        <w:rPr>
          <w:rFonts w:ascii="Arial" w:hAnsi="Arial" w:cs="Arial"/>
          <w:color w:val="000000" w:themeColor="text1"/>
          <w:sz w:val="20"/>
        </w:rPr>
        <w:tab/>
      </w:r>
      <w:r w:rsidR="000A102F">
        <w:rPr>
          <w:rFonts w:ascii="Arial" w:hAnsi="Arial" w:cs="Arial"/>
          <w:color w:val="000000" w:themeColor="text1"/>
          <w:sz w:val="20"/>
        </w:rPr>
        <w:t xml:space="preserve">The tenure distribution represents 50% affordable rented and 50% shared ownership as per the supporting text to Stroud District Council Core Policy CP9. </w:t>
      </w:r>
    </w:p>
    <w:p w14:paraId="4ED6CDCA" w14:textId="54FF3CE6" w:rsidR="00CA4C9A" w:rsidRDefault="006D4BF2" w:rsidP="00193995">
      <w:pPr>
        <w:spacing w:line="360" w:lineRule="auto"/>
        <w:ind w:left="720" w:hanging="720"/>
        <w:jc w:val="both"/>
        <w:rPr>
          <w:rFonts w:ascii="Arial" w:hAnsi="Arial" w:cs="Arial"/>
          <w:color w:val="000000" w:themeColor="text1"/>
          <w:sz w:val="20"/>
        </w:rPr>
      </w:pPr>
      <w:r>
        <w:rPr>
          <w:rFonts w:ascii="Arial" w:hAnsi="Arial" w:cs="Arial"/>
          <w:color w:val="000000" w:themeColor="text1"/>
          <w:sz w:val="20"/>
        </w:rPr>
        <w:t>4.5</w:t>
      </w:r>
      <w:r w:rsidR="00D8015E">
        <w:rPr>
          <w:rFonts w:ascii="Arial" w:hAnsi="Arial" w:cs="Arial"/>
          <w:color w:val="000000" w:themeColor="text1"/>
          <w:sz w:val="20"/>
        </w:rPr>
        <w:tab/>
        <w:t xml:space="preserve">The dwelling types and sizes </w:t>
      </w:r>
      <w:r w:rsidR="002F3BF0">
        <w:rPr>
          <w:rFonts w:ascii="Arial" w:hAnsi="Arial" w:cs="Arial"/>
          <w:color w:val="000000" w:themeColor="text1"/>
          <w:sz w:val="20"/>
        </w:rPr>
        <w:t>resemble</w:t>
      </w:r>
      <w:r w:rsidR="00D8015E">
        <w:rPr>
          <w:rFonts w:ascii="Arial" w:hAnsi="Arial" w:cs="Arial"/>
          <w:color w:val="000000" w:themeColor="text1"/>
          <w:sz w:val="20"/>
        </w:rPr>
        <w:t xml:space="preserve"> that of the market dwellings</w:t>
      </w:r>
      <w:r w:rsidR="002F3BF0">
        <w:rPr>
          <w:rFonts w:ascii="Arial" w:hAnsi="Arial" w:cs="Arial"/>
          <w:color w:val="000000" w:themeColor="text1"/>
          <w:sz w:val="20"/>
        </w:rPr>
        <w:t xml:space="preserve"> in the development</w:t>
      </w:r>
      <w:r w:rsidR="00D8015E">
        <w:rPr>
          <w:rFonts w:ascii="Arial" w:hAnsi="Arial" w:cs="Arial"/>
          <w:color w:val="000000" w:themeColor="text1"/>
          <w:sz w:val="20"/>
        </w:rPr>
        <w:t xml:space="preserve"> </w:t>
      </w:r>
      <w:r w:rsidR="002F3BF0">
        <w:rPr>
          <w:rFonts w:ascii="Arial" w:hAnsi="Arial" w:cs="Arial"/>
          <w:color w:val="000000" w:themeColor="text1"/>
          <w:sz w:val="20"/>
        </w:rPr>
        <w:t>and assist in creating</w:t>
      </w:r>
      <w:r w:rsidR="00D8015E">
        <w:rPr>
          <w:rFonts w:ascii="Arial" w:hAnsi="Arial" w:cs="Arial"/>
          <w:color w:val="000000" w:themeColor="text1"/>
          <w:sz w:val="20"/>
        </w:rPr>
        <w:t xml:space="preserve"> a balanced community. The design and building material of both the market and the affordable dwellings is coherent, and therefore the affordable units are harmonious with the </w:t>
      </w:r>
      <w:r w:rsidR="00CA4C9A">
        <w:rPr>
          <w:rFonts w:ascii="Arial" w:hAnsi="Arial" w:cs="Arial"/>
          <w:color w:val="000000" w:themeColor="text1"/>
          <w:sz w:val="20"/>
        </w:rPr>
        <w:t>remainder of the</w:t>
      </w:r>
      <w:r w:rsidR="00D8015E">
        <w:rPr>
          <w:rFonts w:ascii="Arial" w:hAnsi="Arial" w:cs="Arial"/>
          <w:color w:val="000000" w:themeColor="text1"/>
          <w:sz w:val="20"/>
        </w:rPr>
        <w:t xml:space="preserve"> scheme. </w:t>
      </w:r>
    </w:p>
    <w:p w14:paraId="18C059AC" w14:textId="1127AB7C" w:rsidR="002F3BF0" w:rsidRDefault="006D4BF2" w:rsidP="00193995">
      <w:pPr>
        <w:spacing w:line="360" w:lineRule="auto"/>
        <w:ind w:left="720" w:hanging="720"/>
        <w:jc w:val="both"/>
        <w:rPr>
          <w:rFonts w:ascii="Arial" w:hAnsi="Arial" w:cs="Arial"/>
          <w:color w:val="000000" w:themeColor="text1"/>
          <w:sz w:val="20"/>
        </w:rPr>
      </w:pPr>
      <w:r w:rsidRPr="003F73B0">
        <w:rPr>
          <w:rFonts w:ascii="Arial" w:hAnsi="Arial" w:cs="Arial"/>
          <w:color w:val="000000" w:themeColor="text1"/>
          <w:sz w:val="20"/>
        </w:rPr>
        <w:t>4.6</w:t>
      </w:r>
      <w:r w:rsidR="002F3BF0" w:rsidRPr="003F73B0">
        <w:rPr>
          <w:rFonts w:ascii="Arial" w:hAnsi="Arial" w:cs="Arial"/>
          <w:color w:val="000000" w:themeColor="text1"/>
          <w:sz w:val="20"/>
        </w:rPr>
        <w:tab/>
        <w:t xml:space="preserve">The distribution of affordable units can be seen in </w:t>
      </w:r>
      <w:r w:rsidR="002F3BF0" w:rsidRPr="003F73B0">
        <w:rPr>
          <w:rFonts w:ascii="Arial" w:hAnsi="Arial" w:cs="Arial"/>
          <w:b/>
          <w:color w:val="000000" w:themeColor="text1"/>
          <w:sz w:val="20"/>
        </w:rPr>
        <w:t>Appendix 1</w:t>
      </w:r>
      <w:r w:rsidR="002F3BF0" w:rsidRPr="003F73B0">
        <w:rPr>
          <w:rFonts w:ascii="Arial" w:hAnsi="Arial" w:cs="Arial"/>
          <w:color w:val="000000" w:themeColor="text1"/>
          <w:sz w:val="20"/>
        </w:rPr>
        <w:t>, the Affordable Homes Key Plan. Units are located in clusters of less than eight</w:t>
      </w:r>
      <w:r w:rsidR="00403EAD" w:rsidRPr="003F73B0">
        <w:rPr>
          <w:rFonts w:ascii="Arial" w:hAnsi="Arial" w:cs="Arial"/>
          <w:color w:val="000000" w:themeColor="text1"/>
          <w:sz w:val="20"/>
        </w:rPr>
        <w:t xml:space="preserve"> in the majority of cases, where they are not this is justified for site contextual reasons as is possible under policy supporting</w:t>
      </w:r>
      <w:r w:rsidR="00403EAD">
        <w:rPr>
          <w:rFonts w:ascii="Arial" w:hAnsi="Arial" w:cs="Arial"/>
          <w:color w:val="000000" w:themeColor="text1"/>
          <w:sz w:val="20"/>
        </w:rPr>
        <w:t xml:space="preserve"> text.</w:t>
      </w:r>
      <w:r w:rsidR="002F3BF0">
        <w:rPr>
          <w:rFonts w:ascii="Arial" w:hAnsi="Arial" w:cs="Arial"/>
          <w:color w:val="000000" w:themeColor="text1"/>
          <w:sz w:val="20"/>
        </w:rPr>
        <w:t xml:space="preserve"> </w:t>
      </w:r>
      <w:r w:rsidR="00CA4C9A">
        <w:rPr>
          <w:rFonts w:ascii="Arial" w:hAnsi="Arial" w:cs="Arial"/>
          <w:color w:val="000000" w:themeColor="text1"/>
          <w:sz w:val="20"/>
        </w:rPr>
        <w:tab/>
      </w:r>
    </w:p>
    <w:p w14:paraId="05437335" w14:textId="147DEE7F" w:rsidR="00F80A50" w:rsidRPr="000A102F" w:rsidRDefault="006D4BF2" w:rsidP="00193995">
      <w:pPr>
        <w:spacing w:line="360" w:lineRule="auto"/>
        <w:ind w:left="720" w:hanging="720"/>
        <w:jc w:val="both"/>
        <w:rPr>
          <w:rFonts w:ascii="Arial" w:hAnsi="Arial" w:cs="Arial"/>
          <w:color w:val="000000" w:themeColor="text1"/>
          <w:sz w:val="20"/>
        </w:rPr>
      </w:pPr>
      <w:r>
        <w:rPr>
          <w:rFonts w:ascii="Arial" w:hAnsi="Arial" w:cs="Arial"/>
          <w:color w:val="000000" w:themeColor="text1"/>
          <w:sz w:val="20"/>
        </w:rPr>
        <w:t>4.7</w:t>
      </w:r>
      <w:r w:rsidR="00F80A50">
        <w:rPr>
          <w:rFonts w:ascii="Arial" w:hAnsi="Arial" w:cs="Arial"/>
          <w:color w:val="000000" w:themeColor="text1"/>
          <w:sz w:val="20"/>
        </w:rPr>
        <w:t xml:space="preserve"> </w:t>
      </w:r>
      <w:r w:rsidR="00F80A50">
        <w:rPr>
          <w:rFonts w:ascii="Arial" w:hAnsi="Arial" w:cs="Arial"/>
          <w:color w:val="000000" w:themeColor="text1"/>
          <w:sz w:val="20"/>
        </w:rPr>
        <w:tab/>
        <w:t xml:space="preserve">The delivery of the affordable units will be secured through S.106 Agreement. </w:t>
      </w:r>
    </w:p>
    <w:p w14:paraId="068CC352" w14:textId="77777777" w:rsidR="002C06AF" w:rsidRDefault="002C06AF" w:rsidP="00193995">
      <w:pPr>
        <w:spacing w:line="360" w:lineRule="auto"/>
        <w:ind w:left="720" w:hanging="720"/>
        <w:jc w:val="both"/>
        <w:rPr>
          <w:rFonts w:ascii="Arial" w:hAnsi="Arial" w:cs="Arial"/>
          <w:i/>
          <w:sz w:val="20"/>
        </w:rPr>
      </w:pPr>
    </w:p>
    <w:p w14:paraId="4C875FE7" w14:textId="25A32603" w:rsidR="00E61FF0" w:rsidRDefault="00E61FF0" w:rsidP="00193995">
      <w:pPr>
        <w:spacing w:line="360" w:lineRule="auto"/>
        <w:ind w:left="720" w:hanging="720"/>
        <w:jc w:val="both"/>
        <w:rPr>
          <w:rFonts w:ascii="Arial" w:hAnsi="Arial" w:cs="Arial"/>
          <w:i/>
          <w:sz w:val="20"/>
        </w:rPr>
      </w:pPr>
    </w:p>
    <w:p w14:paraId="209967F8" w14:textId="77777777" w:rsidR="00CA4C9A" w:rsidRDefault="00CA4C9A" w:rsidP="00193995">
      <w:pPr>
        <w:spacing w:line="360" w:lineRule="auto"/>
        <w:ind w:left="720" w:hanging="720"/>
        <w:jc w:val="both"/>
        <w:rPr>
          <w:rFonts w:ascii="Arial" w:hAnsi="Arial" w:cs="Arial"/>
          <w:sz w:val="20"/>
          <w:szCs w:val="20"/>
        </w:rPr>
      </w:pPr>
    </w:p>
    <w:p w14:paraId="5EDD3E6D" w14:textId="7BD11ED9" w:rsidR="00E61FF0" w:rsidRDefault="00F80A50" w:rsidP="00193995">
      <w:pPr>
        <w:spacing w:line="360" w:lineRule="auto"/>
        <w:ind w:left="720" w:hanging="720"/>
        <w:jc w:val="both"/>
        <w:rPr>
          <w:rFonts w:ascii="Arial" w:hAnsi="Arial" w:cs="Arial"/>
          <w:i/>
          <w:sz w:val="20"/>
        </w:rPr>
      </w:pPr>
      <w:r>
        <w:rPr>
          <w:rFonts w:ascii="Arial" w:hAnsi="Arial" w:cs="Arial"/>
          <w:sz w:val="20"/>
          <w:szCs w:val="20"/>
        </w:rPr>
        <w:t>.</w:t>
      </w:r>
    </w:p>
    <w:p w14:paraId="731D8899" w14:textId="3463B603" w:rsidR="00E61FF0" w:rsidRDefault="00E61FF0" w:rsidP="00193995">
      <w:pPr>
        <w:spacing w:line="360" w:lineRule="auto"/>
        <w:ind w:left="720" w:hanging="720"/>
        <w:jc w:val="both"/>
        <w:rPr>
          <w:rFonts w:ascii="Arial" w:hAnsi="Arial" w:cs="Arial"/>
          <w:i/>
          <w:sz w:val="20"/>
        </w:rPr>
      </w:pPr>
    </w:p>
    <w:p w14:paraId="704A68FA" w14:textId="37033F00" w:rsidR="00E61FF0" w:rsidRDefault="00E61FF0" w:rsidP="00193995">
      <w:pPr>
        <w:spacing w:line="360" w:lineRule="auto"/>
        <w:ind w:left="720" w:hanging="720"/>
        <w:jc w:val="both"/>
        <w:rPr>
          <w:rFonts w:ascii="Arial" w:hAnsi="Arial" w:cs="Arial"/>
          <w:i/>
          <w:sz w:val="20"/>
        </w:rPr>
      </w:pPr>
    </w:p>
    <w:p w14:paraId="56E9E2ED" w14:textId="1616EFCF" w:rsidR="00BA5B62" w:rsidRDefault="0032019F" w:rsidP="00193995">
      <w:pPr>
        <w:pStyle w:val="Heading1"/>
        <w:jc w:val="both"/>
      </w:pPr>
      <w:bookmarkStart w:id="12" w:name="_Toc38040307"/>
      <w:r>
        <w:t>5</w:t>
      </w:r>
      <w:r w:rsidR="00BA5B62">
        <w:t xml:space="preserve">. </w:t>
      </w:r>
      <w:r w:rsidR="004B719B">
        <w:tab/>
      </w:r>
      <w:r w:rsidR="00BA5B62">
        <w:t>Conclusion</w:t>
      </w:r>
      <w:r>
        <w:t>s</w:t>
      </w:r>
      <w:bookmarkEnd w:id="12"/>
    </w:p>
    <w:p w14:paraId="65B39169" w14:textId="77777777" w:rsidR="009A6D00" w:rsidRPr="00586B0E" w:rsidRDefault="009A6D00" w:rsidP="00193995">
      <w:pPr>
        <w:spacing w:line="360" w:lineRule="auto"/>
        <w:jc w:val="both"/>
        <w:rPr>
          <w:rFonts w:ascii="Arial" w:hAnsi="Arial" w:cs="Arial"/>
          <w:sz w:val="20"/>
        </w:rPr>
      </w:pPr>
      <w:r>
        <w:rPr>
          <w:rFonts w:ascii="Arial" w:hAnsi="Arial" w:cs="Arial"/>
          <w:sz w:val="20"/>
        </w:rPr>
        <w:t xml:space="preserve"> </w:t>
      </w:r>
    </w:p>
    <w:p w14:paraId="4E37356A" w14:textId="180B3B2D" w:rsidR="00DA4F3B" w:rsidRDefault="00CA4C9A" w:rsidP="00193995">
      <w:pPr>
        <w:spacing w:line="360" w:lineRule="auto"/>
        <w:ind w:left="720" w:hanging="720"/>
        <w:jc w:val="both"/>
        <w:rPr>
          <w:rFonts w:ascii="Arial" w:hAnsi="Arial" w:cs="Arial"/>
          <w:sz w:val="20"/>
        </w:rPr>
      </w:pPr>
      <w:r>
        <w:rPr>
          <w:rFonts w:ascii="Arial" w:hAnsi="Arial" w:cs="Arial"/>
          <w:sz w:val="20"/>
        </w:rPr>
        <w:t>5</w:t>
      </w:r>
      <w:r w:rsidR="000B477B">
        <w:rPr>
          <w:rFonts w:ascii="Arial" w:hAnsi="Arial" w:cs="Arial"/>
          <w:sz w:val="20"/>
        </w:rPr>
        <w:t>.1</w:t>
      </w:r>
      <w:r w:rsidR="000B477B">
        <w:rPr>
          <w:rFonts w:ascii="Arial" w:hAnsi="Arial" w:cs="Arial"/>
          <w:sz w:val="20"/>
        </w:rPr>
        <w:tab/>
      </w:r>
      <w:r w:rsidR="0075618B">
        <w:rPr>
          <w:rFonts w:ascii="Arial" w:hAnsi="Arial" w:cs="Arial"/>
          <w:sz w:val="20"/>
        </w:rPr>
        <w:t>The hybrid application for th</w:t>
      </w:r>
      <w:r w:rsidR="000B477B">
        <w:rPr>
          <w:rFonts w:ascii="Arial" w:hAnsi="Arial" w:cs="Arial"/>
          <w:sz w:val="20"/>
        </w:rPr>
        <w:t xml:space="preserve">e proposed development seeks permission for </w:t>
      </w:r>
      <w:r w:rsidR="00403EAD">
        <w:rPr>
          <w:rFonts w:ascii="Arial" w:hAnsi="Arial" w:cs="Arial"/>
          <w:sz w:val="20"/>
        </w:rPr>
        <w:t xml:space="preserve">up to </w:t>
      </w:r>
      <w:r w:rsidR="000454C5">
        <w:rPr>
          <w:rFonts w:ascii="Arial" w:hAnsi="Arial" w:cs="Arial"/>
          <w:sz w:val="20"/>
        </w:rPr>
        <w:t>564</w:t>
      </w:r>
      <w:r w:rsidR="001F7ECB">
        <w:rPr>
          <w:rFonts w:ascii="Arial" w:hAnsi="Arial" w:cs="Arial"/>
          <w:sz w:val="20"/>
        </w:rPr>
        <w:t xml:space="preserve"> </w:t>
      </w:r>
      <w:r w:rsidR="000B477B">
        <w:rPr>
          <w:rFonts w:ascii="Arial" w:hAnsi="Arial" w:cs="Arial"/>
          <w:sz w:val="20"/>
        </w:rPr>
        <w:t>dwellings</w:t>
      </w:r>
      <w:r w:rsidR="00403EAD">
        <w:rPr>
          <w:rFonts w:ascii="Arial" w:hAnsi="Arial" w:cs="Arial"/>
          <w:sz w:val="20"/>
        </w:rPr>
        <w:t xml:space="preserve"> in Outline and </w:t>
      </w:r>
      <w:r w:rsidR="000454C5">
        <w:rPr>
          <w:rFonts w:ascii="Arial" w:hAnsi="Arial" w:cs="Arial"/>
          <w:sz w:val="20"/>
        </w:rPr>
        <w:t>231</w:t>
      </w:r>
      <w:r w:rsidR="00403EAD">
        <w:rPr>
          <w:rFonts w:ascii="Arial" w:hAnsi="Arial" w:cs="Arial"/>
          <w:sz w:val="20"/>
        </w:rPr>
        <w:t xml:space="preserve"> dwellings in Full</w:t>
      </w:r>
      <w:r w:rsidR="000B477B">
        <w:rPr>
          <w:rFonts w:ascii="Arial" w:hAnsi="Arial" w:cs="Arial"/>
          <w:sz w:val="20"/>
        </w:rPr>
        <w:t xml:space="preserve">, </w:t>
      </w:r>
      <w:r w:rsidR="000454C5">
        <w:rPr>
          <w:rFonts w:ascii="Arial" w:hAnsi="Arial" w:cs="Arial"/>
          <w:sz w:val="20"/>
        </w:rPr>
        <w:t xml:space="preserve">for a total of up to 795 with </w:t>
      </w:r>
      <w:r w:rsidR="00403EAD">
        <w:rPr>
          <w:rFonts w:ascii="Arial" w:hAnsi="Arial" w:cs="Arial"/>
          <w:sz w:val="20"/>
        </w:rPr>
        <w:t xml:space="preserve">up to </w:t>
      </w:r>
      <w:r w:rsidR="000454C5">
        <w:rPr>
          <w:rFonts w:ascii="Arial" w:hAnsi="Arial" w:cs="Arial"/>
          <w:sz w:val="20"/>
        </w:rPr>
        <w:t>238</w:t>
      </w:r>
      <w:r w:rsidR="001F7ECB">
        <w:rPr>
          <w:rFonts w:ascii="Arial" w:hAnsi="Arial" w:cs="Arial"/>
          <w:sz w:val="20"/>
        </w:rPr>
        <w:t xml:space="preserve"> affordable units. </w:t>
      </w:r>
      <w:r w:rsidR="000B477B">
        <w:rPr>
          <w:rFonts w:ascii="Arial" w:hAnsi="Arial" w:cs="Arial"/>
          <w:sz w:val="20"/>
        </w:rPr>
        <w:t>This is in accordance with Stroud Core Policy CP9 that requires 30% affordable housing on residential de</w:t>
      </w:r>
      <w:r w:rsidR="00DA4F3B">
        <w:rPr>
          <w:rFonts w:ascii="Arial" w:hAnsi="Arial" w:cs="Arial"/>
          <w:sz w:val="20"/>
        </w:rPr>
        <w:t>velopments of at least 4 units.</w:t>
      </w:r>
    </w:p>
    <w:p w14:paraId="77688467" w14:textId="5A8B48E9" w:rsidR="001F7ECB" w:rsidRDefault="00DA4F3B" w:rsidP="00193995">
      <w:pPr>
        <w:spacing w:line="360" w:lineRule="auto"/>
        <w:ind w:left="720" w:hanging="720"/>
        <w:jc w:val="both"/>
        <w:rPr>
          <w:rFonts w:ascii="Arial" w:hAnsi="Arial" w:cs="Arial"/>
          <w:sz w:val="20"/>
        </w:rPr>
      </w:pPr>
      <w:r>
        <w:rPr>
          <w:rFonts w:ascii="Arial" w:hAnsi="Arial" w:cs="Arial"/>
          <w:sz w:val="20"/>
        </w:rPr>
        <w:t>5.2</w:t>
      </w:r>
      <w:r>
        <w:rPr>
          <w:rFonts w:ascii="Arial" w:hAnsi="Arial" w:cs="Arial"/>
          <w:sz w:val="20"/>
        </w:rPr>
        <w:tab/>
        <w:t>The provision of affordable housing will make</w:t>
      </w:r>
      <w:r w:rsidR="00501DB4">
        <w:rPr>
          <w:rFonts w:ascii="Arial" w:hAnsi="Arial" w:cs="Arial"/>
          <w:sz w:val="20"/>
        </w:rPr>
        <w:t xml:space="preserve"> a significant contribution to </w:t>
      </w:r>
      <w:r>
        <w:rPr>
          <w:rFonts w:ascii="Arial" w:hAnsi="Arial" w:cs="Arial"/>
          <w:sz w:val="20"/>
        </w:rPr>
        <w:t xml:space="preserve">the </w:t>
      </w:r>
      <w:r w:rsidR="00403EAD">
        <w:rPr>
          <w:rFonts w:ascii="Arial" w:hAnsi="Arial" w:cs="Arial"/>
          <w:sz w:val="20"/>
        </w:rPr>
        <w:t>614</w:t>
      </w:r>
      <w:r>
        <w:rPr>
          <w:rFonts w:ascii="Arial" w:hAnsi="Arial" w:cs="Arial"/>
          <w:sz w:val="20"/>
        </w:rPr>
        <w:t xml:space="preserve"> households that specified a requirement for an affordable home in </w:t>
      </w:r>
      <w:r w:rsidR="00403EAD">
        <w:rPr>
          <w:rFonts w:ascii="Arial" w:hAnsi="Arial" w:cs="Arial"/>
          <w:sz w:val="20"/>
        </w:rPr>
        <w:t>the Cam parish</w:t>
      </w:r>
      <w:r>
        <w:rPr>
          <w:rFonts w:ascii="Arial" w:hAnsi="Arial" w:cs="Arial"/>
          <w:sz w:val="20"/>
        </w:rPr>
        <w:t xml:space="preserve"> on the Council’s Housing Register Waiting List. </w:t>
      </w:r>
    </w:p>
    <w:p w14:paraId="77E8F833" w14:textId="444AED4F" w:rsidR="003B792C" w:rsidRDefault="00DA4F3B" w:rsidP="00193995">
      <w:pPr>
        <w:spacing w:line="360" w:lineRule="auto"/>
        <w:ind w:left="720" w:hanging="720"/>
        <w:jc w:val="both"/>
        <w:rPr>
          <w:rFonts w:ascii="Arial" w:hAnsi="Arial" w:cs="Arial"/>
          <w:sz w:val="20"/>
        </w:rPr>
      </w:pPr>
      <w:r>
        <w:rPr>
          <w:rFonts w:ascii="Arial" w:hAnsi="Arial" w:cs="Arial"/>
          <w:sz w:val="20"/>
        </w:rPr>
        <w:t>5.3</w:t>
      </w:r>
      <w:r w:rsidR="003B792C">
        <w:rPr>
          <w:rFonts w:ascii="Arial" w:hAnsi="Arial" w:cs="Arial"/>
          <w:sz w:val="20"/>
        </w:rPr>
        <w:tab/>
        <w:t xml:space="preserve">In accordance with the Council’s Local Validation Checklist, the Statement provides information on the number, mix, tenure and gross internal floor area of the units and states how Affordable Housing will be secured. </w:t>
      </w:r>
    </w:p>
    <w:p w14:paraId="09B06CC5" w14:textId="532F6051" w:rsidR="001F7ECB" w:rsidRDefault="00DA4F3B" w:rsidP="00193995">
      <w:pPr>
        <w:spacing w:line="360" w:lineRule="auto"/>
        <w:ind w:left="720" w:hanging="720"/>
        <w:jc w:val="both"/>
        <w:rPr>
          <w:rFonts w:ascii="Arial" w:hAnsi="Arial" w:cs="Arial"/>
          <w:sz w:val="20"/>
        </w:rPr>
      </w:pPr>
      <w:r>
        <w:rPr>
          <w:rFonts w:ascii="Arial" w:hAnsi="Arial" w:cs="Arial"/>
          <w:sz w:val="20"/>
        </w:rPr>
        <w:t>5.4</w:t>
      </w:r>
      <w:r w:rsidR="001F7ECB">
        <w:rPr>
          <w:rFonts w:ascii="Arial" w:hAnsi="Arial" w:cs="Arial"/>
          <w:sz w:val="20"/>
        </w:rPr>
        <w:tab/>
      </w:r>
      <w:r w:rsidR="000B477B">
        <w:rPr>
          <w:rFonts w:ascii="Arial" w:hAnsi="Arial" w:cs="Arial"/>
          <w:sz w:val="20"/>
        </w:rPr>
        <w:t xml:space="preserve">The proposed tenure split and mix is </w:t>
      </w:r>
      <w:r w:rsidR="00FB6327">
        <w:rPr>
          <w:rFonts w:ascii="Arial" w:hAnsi="Arial" w:cs="Arial"/>
          <w:sz w:val="20"/>
        </w:rPr>
        <w:t xml:space="preserve">detailed within this statement and is reflective of local policy and guidance. </w:t>
      </w:r>
    </w:p>
    <w:p w14:paraId="3CA4BA37" w14:textId="139A1557" w:rsidR="001F7ECB" w:rsidRDefault="00DA4F3B" w:rsidP="00193995">
      <w:pPr>
        <w:spacing w:line="360" w:lineRule="auto"/>
        <w:ind w:left="720" w:hanging="720"/>
        <w:jc w:val="both"/>
        <w:rPr>
          <w:rFonts w:ascii="Arial" w:hAnsi="Arial" w:cs="Arial"/>
          <w:sz w:val="20"/>
        </w:rPr>
      </w:pPr>
      <w:r>
        <w:rPr>
          <w:rFonts w:ascii="Arial" w:hAnsi="Arial" w:cs="Arial"/>
          <w:sz w:val="20"/>
        </w:rPr>
        <w:t>5.5</w:t>
      </w:r>
      <w:r w:rsidR="001F7ECB">
        <w:rPr>
          <w:rFonts w:ascii="Arial" w:hAnsi="Arial" w:cs="Arial"/>
          <w:sz w:val="20"/>
        </w:rPr>
        <w:tab/>
        <w:t xml:space="preserve">The Affordable Homes </w:t>
      </w:r>
      <w:r w:rsidR="001F7ECB" w:rsidRPr="003F73B0">
        <w:rPr>
          <w:rFonts w:ascii="Arial" w:hAnsi="Arial" w:cs="Arial"/>
          <w:sz w:val="20"/>
        </w:rPr>
        <w:t xml:space="preserve">Key Plan, </w:t>
      </w:r>
      <w:r w:rsidR="001F7ECB" w:rsidRPr="003F73B0">
        <w:rPr>
          <w:rFonts w:ascii="Arial" w:hAnsi="Arial" w:cs="Arial"/>
          <w:b/>
          <w:sz w:val="20"/>
        </w:rPr>
        <w:t>Appendix 1</w:t>
      </w:r>
      <w:r w:rsidR="001F7ECB" w:rsidRPr="003F73B0">
        <w:rPr>
          <w:rFonts w:ascii="Arial" w:hAnsi="Arial" w:cs="Arial"/>
          <w:sz w:val="20"/>
        </w:rPr>
        <w:t>,</w:t>
      </w:r>
      <w:r w:rsidR="001F7ECB">
        <w:rPr>
          <w:rFonts w:ascii="Arial" w:hAnsi="Arial" w:cs="Arial"/>
          <w:sz w:val="20"/>
        </w:rPr>
        <w:t xml:space="preserve"> shows how the units will be distributed. The design of the affordable units are coherent with the market dwellings, creating a harmonious development. </w:t>
      </w:r>
    </w:p>
    <w:p w14:paraId="6E9009BD" w14:textId="3EDCB649" w:rsidR="001F7ECB" w:rsidRDefault="00DA4F3B" w:rsidP="00193995">
      <w:pPr>
        <w:spacing w:line="360" w:lineRule="auto"/>
        <w:ind w:left="720" w:hanging="720"/>
        <w:jc w:val="both"/>
        <w:rPr>
          <w:rFonts w:ascii="Arial" w:hAnsi="Arial" w:cs="Arial"/>
          <w:sz w:val="20"/>
        </w:rPr>
      </w:pPr>
      <w:r>
        <w:rPr>
          <w:rFonts w:ascii="Arial" w:hAnsi="Arial" w:cs="Arial"/>
          <w:sz w:val="20"/>
        </w:rPr>
        <w:t>5.6</w:t>
      </w:r>
      <w:r w:rsidR="001F7ECB">
        <w:rPr>
          <w:rFonts w:ascii="Arial" w:hAnsi="Arial" w:cs="Arial"/>
          <w:sz w:val="20"/>
        </w:rPr>
        <w:tab/>
        <w:t xml:space="preserve">The final details of the delivery of affordable housing will be secured though a S.106 Agreement. </w:t>
      </w:r>
    </w:p>
    <w:p w14:paraId="40D9C5A9" w14:textId="7DBC38F0" w:rsidR="00276589" w:rsidRDefault="00354A15" w:rsidP="00193995">
      <w:pPr>
        <w:spacing w:line="360" w:lineRule="auto"/>
        <w:jc w:val="both"/>
        <w:rPr>
          <w:rFonts w:ascii="Arial" w:hAnsi="Arial" w:cs="Arial"/>
          <w:sz w:val="20"/>
        </w:rPr>
      </w:pPr>
      <w:r>
        <w:rPr>
          <w:rFonts w:ascii="Arial" w:hAnsi="Arial" w:cs="Arial"/>
          <w:sz w:val="20"/>
        </w:rPr>
        <w:t xml:space="preserve"> </w:t>
      </w:r>
    </w:p>
    <w:p w14:paraId="6F64674A" w14:textId="1A37C790" w:rsidR="00B8060F" w:rsidRDefault="00B8060F" w:rsidP="00193995">
      <w:pPr>
        <w:spacing w:line="360" w:lineRule="auto"/>
        <w:ind w:left="720" w:hanging="720"/>
        <w:jc w:val="both"/>
        <w:rPr>
          <w:rFonts w:ascii="Arial" w:hAnsi="Arial" w:cs="Arial"/>
          <w:sz w:val="20"/>
        </w:rPr>
      </w:pPr>
    </w:p>
    <w:p w14:paraId="0F084018" w14:textId="30410028" w:rsidR="00B8060F" w:rsidRDefault="00B8060F" w:rsidP="00193995">
      <w:pPr>
        <w:spacing w:line="360" w:lineRule="auto"/>
        <w:ind w:left="720" w:hanging="720"/>
        <w:jc w:val="both"/>
        <w:rPr>
          <w:rFonts w:ascii="Arial" w:hAnsi="Arial" w:cs="Arial"/>
          <w:sz w:val="20"/>
        </w:rPr>
      </w:pPr>
    </w:p>
    <w:p w14:paraId="7B3A6E75" w14:textId="452DF1B5" w:rsidR="00B44CBA" w:rsidRDefault="00B44CBA" w:rsidP="00193995">
      <w:pPr>
        <w:spacing w:line="360" w:lineRule="auto"/>
        <w:ind w:left="720"/>
        <w:jc w:val="both"/>
        <w:rPr>
          <w:rFonts w:ascii="Arial" w:hAnsi="Arial" w:cs="Arial"/>
          <w:color w:val="FF0000"/>
          <w:sz w:val="20"/>
        </w:rPr>
      </w:pPr>
    </w:p>
    <w:p w14:paraId="787EC388" w14:textId="05F4638E" w:rsidR="00B44CBA" w:rsidRDefault="00B44CBA" w:rsidP="00193995">
      <w:pPr>
        <w:spacing w:line="360" w:lineRule="auto"/>
        <w:ind w:left="720"/>
        <w:jc w:val="both"/>
        <w:rPr>
          <w:rFonts w:ascii="Arial" w:hAnsi="Arial" w:cs="Arial"/>
          <w:sz w:val="20"/>
        </w:rPr>
      </w:pPr>
    </w:p>
    <w:p w14:paraId="0B9C0074" w14:textId="77777777" w:rsidR="00DA4F3B" w:rsidRDefault="00DA4F3B" w:rsidP="00193995">
      <w:pPr>
        <w:spacing w:line="360" w:lineRule="auto"/>
        <w:ind w:left="720"/>
        <w:jc w:val="both"/>
        <w:rPr>
          <w:rFonts w:ascii="Arial" w:hAnsi="Arial" w:cs="Arial"/>
          <w:color w:val="FF0000"/>
          <w:sz w:val="20"/>
        </w:rPr>
      </w:pPr>
    </w:p>
    <w:p w14:paraId="00904514" w14:textId="6FF3A894" w:rsidR="00B44CBA" w:rsidRDefault="00B44CBA" w:rsidP="00193995">
      <w:pPr>
        <w:spacing w:line="360" w:lineRule="auto"/>
        <w:ind w:left="720"/>
        <w:jc w:val="both"/>
        <w:rPr>
          <w:rFonts w:ascii="Arial" w:hAnsi="Arial" w:cs="Arial"/>
          <w:color w:val="FF0000"/>
          <w:sz w:val="20"/>
        </w:rPr>
      </w:pPr>
    </w:p>
    <w:p w14:paraId="719725C8" w14:textId="77777777" w:rsidR="00B44CBA" w:rsidRDefault="00B44CBA" w:rsidP="00193995">
      <w:pPr>
        <w:spacing w:line="360" w:lineRule="auto"/>
        <w:ind w:left="720"/>
        <w:jc w:val="both"/>
        <w:rPr>
          <w:rFonts w:ascii="Arial" w:hAnsi="Arial" w:cs="Arial"/>
          <w:color w:val="FF0000"/>
          <w:sz w:val="20"/>
        </w:rPr>
      </w:pPr>
    </w:p>
    <w:p w14:paraId="0579C0A6" w14:textId="3566ABF5" w:rsidR="00877209" w:rsidRDefault="00877209" w:rsidP="00193995">
      <w:pPr>
        <w:spacing w:line="360" w:lineRule="auto"/>
        <w:ind w:left="720"/>
        <w:jc w:val="both"/>
        <w:rPr>
          <w:rFonts w:ascii="Arial" w:hAnsi="Arial" w:cs="Arial"/>
          <w:color w:val="FF0000"/>
          <w:sz w:val="20"/>
        </w:rPr>
      </w:pPr>
    </w:p>
    <w:p w14:paraId="3EDF9698" w14:textId="59B90108" w:rsidR="0032019F" w:rsidRDefault="0032019F" w:rsidP="00193995">
      <w:pPr>
        <w:spacing w:line="360" w:lineRule="auto"/>
        <w:ind w:left="720"/>
        <w:jc w:val="both"/>
        <w:rPr>
          <w:rFonts w:ascii="Arial" w:hAnsi="Arial" w:cs="Arial"/>
          <w:color w:val="FF0000"/>
          <w:sz w:val="20"/>
        </w:rPr>
      </w:pPr>
    </w:p>
    <w:p w14:paraId="296987A5" w14:textId="53CF667F" w:rsidR="0032019F" w:rsidRDefault="0032019F" w:rsidP="00193995">
      <w:pPr>
        <w:spacing w:line="360" w:lineRule="auto"/>
        <w:ind w:left="720"/>
        <w:jc w:val="both"/>
        <w:rPr>
          <w:rFonts w:ascii="Arial" w:hAnsi="Arial" w:cs="Arial"/>
          <w:color w:val="FF0000"/>
          <w:sz w:val="20"/>
        </w:rPr>
      </w:pPr>
    </w:p>
    <w:p w14:paraId="2AE065B1" w14:textId="77777777" w:rsidR="005D5FE3" w:rsidRPr="005D5FE3" w:rsidRDefault="005D5FE3" w:rsidP="00193995">
      <w:pPr>
        <w:pStyle w:val="Heading1"/>
        <w:jc w:val="both"/>
      </w:pPr>
      <w:bookmarkStart w:id="13" w:name="_Toc38040308"/>
      <w:r w:rsidRPr="005D5FE3">
        <w:lastRenderedPageBreak/>
        <w:t>Appendices</w:t>
      </w:r>
      <w:bookmarkEnd w:id="13"/>
      <w:r w:rsidRPr="005D5FE3">
        <w:t xml:space="preserve"> </w:t>
      </w:r>
      <w:bookmarkStart w:id="14" w:name="_GoBack"/>
      <w:bookmarkEnd w:id="14"/>
    </w:p>
    <w:p w14:paraId="7DA9F26A" w14:textId="3D5C041E" w:rsidR="007E1560" w:rsidRDefault="007E1560" w:rsidP="00193995">
      <w:pPr>
        <w:pStyle w:val="Heading2"/>
        <w:jc w:val="both"/>
      </w:pPr>
      <w:bookmarkStart w:id="15" w:name="_Toc38040309"/>
      <w:r>
        <w:t xml:space="preserve">Appendix 1: </w:t>
      </w:r>
      <w:r w:rsidR="00CA4C9A">
        <w:t>Affordable Homes Key Plan</w:t>
      </w:r>
      <w:bookmarkEnd w:id="15"/>
      <w:r w:rsidR="00CA4C9A">
        <w:t xml:space="preserve"> </w:t>
      </w:r>
    </w:p>
    <w:p w14:paraId="0E16C83F" w14:textId="08FDDFF6" w:rsidR="00861295" w:rsidRDefault="00861295" w:rsidP="00193995">
      <w:pPr>
        <w:jc w:val="both"/>
      </w:pPr>
    </w:p>
    <w:p w14:paraId="0E859040" w14:textId="4DE983BF" w:rsidR="00861295" w:rsidRPr="00861295" w:rsidRDefault="00861295" w:rsidP="00193995">
      <w:pPr>
        <w:jc w:val="both"/>
        <w:rPr>
          <w:color w:val="FF0000"/>
        </w:rPr>
      </w:pPr>
    </w:p>
    <w:sectPr w:rsidR="00861295" w:rsidRPr="00861295" w:rsidSect="008E290F">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0BA68" w14:textId="77777777" w:rsidR="00386122" w:rsidRDefault="00386122" w:rsidP="008E290F">
      <w:pPr>
        <w:spacing w:after="0" w:line="240" w:lineRule="auto"/>
      </w:pPr>
      <w:r>
        <w:separator/>
      </w:r>
    </w:p>
  </w:endnote>
  <w:endnote w:type="continuationSeparator" w:id="0">
    <w:p w14:paraId="09F4079C" w14:textId="77777777" w:rsidR="00386122" w:rsidRDefault="00386122" w:rsidP="008E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12EA" w14:textId="77777777" w:rsidR="00386122" w:rsidRDefault="00386122">
    <w:pPr>
      <w:pStyle w:val="Footer"/>
      <w:jc w:val="right"/>
    </w:pPr>
    <w:r>
      <w:rPr>
        <w:rFonts w:cs="Arial"/>
        <w:noProof/>
        <w:lang w:eastAsia="en-GB"/>
      </w:rPr>
      <w:drawing>
        <wp:anchor distT="0" distB="0" distL="114300" distR="114300" simplePos="0" relativeHeight="251661312" behindDoc="0" locked="0" layoutInCell="1" allowOverlap="1" wp14:anchorId="726AC6BB" wp14:editId="0556D9EA">
          <wp:simplePos x="0" y="0"/>
          <wp:positionH relativeFrom="margin">
            <wp:posOffset>-599090</wp:posOffset>
          </wp:positionH>
          <wp:positionV relativeFrom="paragraph">
            <wp:posOffset>154349</wp:posOffset>
          </wp:positionV>
          <wp:extent cx="1828800" cy="374303"/>
          <wp:effectExtent l="0" t="0" r="0" b="6985"/>
          <wp:wrapThrough wrapText="bothSides">
            <wp:wrapPolygon edited="0">
              <wp:start x="675" y="0"/>
              <wp:lineTo x="0" y="5501"/>
              <wp:lineTo x="0" y="16503"/>
              <wp:lineTo x="900" y="20903"/>
              <wp:lineTo x="1125" y="20903"/>
              <wp:lineTo x="2250" y="20903"/>
              <wp:lineTo x="21375" y="16503"/>
              <wp:lineTo x="21375" y="6601"/>
              <wp:lineTo x="1800" y="0"/>
              <wp:lineTo x="67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rsimm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74303"/>
                  </a:xfrm>
                  <a:prstGeom prst="rect">
                    <a:avLst/>
                  </a:prstGeom>
                </pic:spPr>
              </pic:pic>
            </a:graphicData>
          </a:graphic>
          <wp14:sizeRelH relativeFrom="page">
            <wp14:pctWidth>0</wp14:pctWidth>
          </wp14:sizeRelH>
          <wp14:sizeRelV relativeFrom="page">
            <wp14:pctHeight>0</wp14:pctHeight>
          </wp14:sizeRelV>
        </wp:anchor>
      </w:drawing>
    </w:r>
  </w:p>
  <w:p w14:paraId="0A1293A5" w14:textId="77777777" w:rsidR="00386122" w:rsidRDefault="00386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085190"/>
      <w:docPartObj>
        <w:docPartGallery w:val="Page Numbers (Bottom of Page)"/>
        <w:docPartUnique/>
      </w:docPartObj>
    </w:sdtPr>
    <w:sdtEndPr>
      <w:rPr>
        <w:noProof/>
      </w:rPr>
    </w:sdtEndPr>
    <w:sdtContent>
      <w:p w14:paraId="548F410E" w14:textId="713135CD" w:rsidR="00386122" w:rsidRDefault="00386122">
        <w:pPr>
          <w:pStyle w:val="Footer"/>
          <w:jc w:val="right"/>
        </w:pPr>
        <w:r>
          <w:rPr>
            <w:rFonts w:cs="Arial"/>
            <w:noProof/>
            <w:lang w:eastAsia="en-GB"/>
          </w:rPr>
          <w:drawing>
            <wp:anchor distT="0" distB="0" distL="114300" distR="114300" simplePos="0" relativeHeight="251659264" behindDoc="0" locked="0" layoutInCell="1" allowOverlap="1" wp14:anchorId="6FF2A1B9" wp14:editId="4A332D7E">
              <wp:simplePos x="0" y="0"/>
              <wp:positionH relativeFrom="margin">
                <wp:posOffset>-582930</wp:posOffset>
              </wp:positionH>
              <wp:positionV relativeFrom="paragraph">
                <wp:posOffset>43728</wp:posOffset>
              </wp:positionV>
              <wp:extent cx="1828800" cy="374303"/>
              <wp:effectExtent l="0" t="0" r="0" b="6985"/>
              <wp:wrapThrough wrapText="bothSides">
                <wp:wrapPolygon edited="0">
                  <wp:start x="675" y="0"/>
                  <wp:lineTo x="0" y="5501"/>
                  <wp:lineTo x="0" y="16503"/>
                  <wp:lineTo x="900" y="20903"/>
                  <wp:lineTo x="1125" y="20903"/>
                  <wp:lineTo x="2250" y="20903"/>
                  <wp:lineTo x="21375" y="16503"/>
                  <wp:lineTo x="21375" y="6601"/>
                  <wp:lineTo x="1800" y="0"/>
                  <wp:lineTo x="675"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rsimm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74303"/>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193995">
          <w:rPr>
            <w:noProof/>
          </w:rPr>
          <w:t>7</w:t>
        </w:r>
        <w:r>
          <w:rPr>
            <w:noProof/>
          </w:rPr>
          <w:fldChar w:fldCharType="end"/>
        </w:r>
      </w:p>
    </w:sdtContent>
  </w:sdt>
  <w:p w14:paraId="16BFA2F6" w14:textId="77777777" w:rsidR="00386122" w:rsidRDefault="00386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D5323" w14:textId="77777777" w:rsidR="00386122" w:rsidRDefault="00386122" w:rsidP="008E290F">
      <w:pPr>
        <w:spacing w:after="0" w:line="240" w:lineRule="auto"/>
      </w:pPr>
      <w:r>
        <w:separator/>
      </w:r>
    </w:p>
  </w:footnote>
  <w:footnote w:type="continuationSeparator" w:id="0">
    <w:p w14:paraId="1DF37166" w14:textId="77777777" w:rsidR="00386122" w:rsidRDefault="00386122" w:rsidP="008E2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BAF8AC"/>
    <w:multiLevelType w:val="hybridMultilevel"/>
    <w:tmpl w:val="4BBF2C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30A6B"/>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 w15:restartNumberingAfterBreak="0">
    <w:nsid w:val="03864C2D"/>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3" w15:restartNumberingAfterBreak="0">
    <w:nsid w:val="0AF91B36"/>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4" w15:restartNumberingAfterBreak="0">
    <w:nsid w:val="0C9C70C1"/>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5" w15:restartNumberingAfterBreak="0">
    <w:nsid w:val="1D4B7E39"/>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6" w15:restartNumberingAfterBreak="0">
    <w:nsid w:val="1FDF73F1"/>
    <w:multiLevelType w:val="hybridMultilevel"/>
    <w:tmpl w:val="7EAAE5DE"/>
    <w:lvl w:ilvl="0" w:tplc="C9F2EE88">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7" w15:restartNumberingAfterBreak="0">
    <w:nsid w:val="2227721F"/>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8" w15:restartNumberingAfterBreak="0">
    <w:nsid w:val="281C6AD8"/>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9" w15:restartNumberingAfterBreak="0">
    <w:nsid w:val="29532281"/>
    <w:multiLevelType w:val="hybridMultilevel"/>
    <w:tmpl w:val="BB461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D6E27"/>
    <w:multiLevelType w:val="hybridMultilevel"/>
    <w:tmpl w:val="39CE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A29B6"/>
    <w:multiLevelType w:val="hybridMultilevel"/>
    <w:tmpl w:val="DAAA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82ADF"/>
    <w:multiLevelType w:val="hybridMultilevel"/>
    <w:tmpl w:val="D7C2CDD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100170B"/>
    <w:multiLevelType w:val="multilevel"/>
    <w:tmpl w:val="4C04BD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0811C8"/>
    <w:multiLevelType w:val="hybridMultilevel"/>
    <w:tmpl w:val="7EAAE5DE"/>
    <w:lvl w:ilvl="0" w:tplc="C9F2EE88">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15" w15:restartNumberingAfterBreak="0">
    <w:nsid w:val="352C1AB5"/>
    <w:multiLevelType w:val="hybridMultilevel"/>
    <w:tmpl w:val="6F6AA694"/>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6" w15:restartNumberingAfterBreak="0">
    <w:nsid w:val="3638482C"/>
    <w:multiLevelType w:val="hybridMultilevel"/>
    <w:tmpl w:val="0F84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86779"/>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18" w15:restartNumberingAfterBreak="0">
    <w:nsid w:val="37590D54"/>
    <w:multiLevelType w:val="hybridMultilevel"/>
    <w:tmpl w:val="2846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F1A6C"/>
    <w:multiLevelType w:val="hybridMultilevel"/>
    <w:tmpl w:val="912A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8C1F68"/>
    <w:multiLevelType w:val="hybridMultilevel"/>
    <w:tmpl w:val="42AC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A5EBF"/>
    <w:multiLevelType w:val="hybridMultilevel"/>
    <w:tmpl w:val="9280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33767"/>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3" w15:restartNumberingAfterBreak="0">
    <w:nsid w:val="55FA327E"/>
    <w:multiLevelType w:val="hybridMultilevel"/>
    <w:tmpl w:val="60169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C1914"/>
    <w:multiLevelType w:val="hybridMultilevel"/>
    <w:tmpl w:val="A10485CA"/>
    <w:lvl w:ilvl="0" w:tplc="0809000F">
      <w:start w:val="1"/>
      <w:numFmt w:val="decimal"/>
      <w:lvlText w:val="%1."/>
      <w:lvlJc w:val="left"/>
      <w:pPr>
        <w:ind w:left="2346"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5" w15:restartNumberingAfterBreak="0">
    <w:nsid w:val="686420FE"/>
    <w:multiLevelType w:val="hybridMultilevel"/>
    <w:tmpl w:val="C21C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237F4E"/>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7" w15:restartNumberingAfterBreak="0">
    <w:nsid w:val="774C6DA1"/>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8" w15:restartNumberingAfterBreak="0">
    <w:nsid w:val="77F13D97"/>
    <w:multiLevelType w:val="hybridMultilevel"/>
    <w:tmpl w:val="1BD0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231818"/>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30" w15:restartNumberingAfterBreak="0">
    <w:nsid w:val="7CBE5922"/>
    <w:multiLevelType w:val="hybridMultilevel"/>
    <w:tmpl w:val="594C3AF8"/>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31" w15:restartNumberingAfterBreak="0">
    <w:nsid w:val="7EC75CC3"/>
    <w:multiLevelType w:val="hybridMultilevel"/>
    <w:tmpl w:val="BF42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75B66"/>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num w:numId="1">
    <w:abstractNumId w:val="1"/>
  </w:num>
  <w:num w:numId="2">
    <w:abstractNumId w:val="10"/>
  </w:num>
  <w:num w:numId="3">
    <w:abstractNumId w:val="21"/>
  </w:num>
  <w:num w:numId="4">
    <w:abstractNumId w:val="26"/>
  </w:num>
  <w:num w:numId="5">
    <w:abstractNumId w:val="4"/>
  </w:num>
  <w:num w:numId="6">
    <w:abstractNumId w:val="29"/>
  </w:num>
  <w:num w:numId="7">
    <w:abstractNumId w:val="7"/>
  </w:num>
  <w:num w:numId="8">
    <w:abstractNumId w:val="8"/>
  </w:num>
  <w:num w:numId="9">
    <w:abstractNumId w:val="2"/>
  </w:num>
  <w:num w:numId="10">
    <w:abstractNumId w:val="32"/>
  </w:num>
  <w:num w:numId="11">
    <w:abstractNumId w:val="3"/>
  </w:num>
  <w:num w:numId="12">
    <w:abstractNumId w:val="5"/>
  </w:num>
  <w:num w:numId="13">
    <w:abstractNumId w:val="15"/>
  </w:num>
  <w:num w:numId="14">
    <w:abstractNumId w:val="22"/>
  </w:num>
  <w:num w:numId="15">
    <w:abstractNumId w:val="27"/>
  </w:num>
  <w:num w:numId="16">
    <w:abstractNumId w:val="14"/>
  </w:num>
  <w:num w:numId="17">
    <w:abstractNumId w:val="24"/>
  </w:num>
  <w:num w:numId="18">
    <w:abstractNumId w:val="12"/>
  </w:num>
  <w:num w:numId="19">
    <w:abstractNumId w:val="6"/>
  </w:num>
  <w:num w:numId="20">
    <w:abstractNumId w:val="20"/>
  </w:num>
  <w:num w:numId="21">
    <w:abstractNumId w:val="30"/>
  </w:num>
  <w:num w:numId="22">
    <w:abstractNumId w:val="19"/>
  </w:num>
  <w:num w:numId="23">
    <w:abstractNumId w:val="28"/>
  </w:num>
  <w:num w:numId="24">
    <w:abstractNumId w:val="17"/>
  </w:num>
  <w:num w:numId="25">
    <w:abstractNumId w:val="0"/>
  </w:num>
  <w:num w:numId="26">
    <w:abstractNumId w:val="13"/>
  </w:num>
  <w:num w:numId="27">
    <w:abstractNumId w:val="25"/>
  </w:num>
  <w:num w:numId="28">
    <w:abstractNumId w:val="23"/>
  </w:num>
  <w:num w:numId="29">
    <w:abstractNumId w:val="9"/>
  </w:num>
  <w:num w:numId="30">
    <w:abstractNumId w:val="16"/>
  </w:num>
  <w:num w:numId="31">
    <w:abstractNumId w:val="18"/>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0F"/>
    <w:rsid w:val="00000C00"/>
    <w:rsid w:val="00000EA3"/>
    <w:rsid w:val="000077D2"/>
    <w:rsid w:val="00007936"/>
    <w:rsid w:val="00012AB5"/>
    <w:rsid w:val="00021804"/>
    <w:rsid w:val="00023D3B"/>
    <w:rsid w:val="0002403A"/>
    <w:rsid w:val="00034505"/>
    <w:rsid w:val="00034E3A"/>
    <w:rsid w:val="00044213"/>
    <w:rsid w:val="000454C5"/>
    <w:rsid w:val="00051DD9"/>
    <w:rsid w:val="00060BA8"/>
    <w:rsid w:val="00076EF0"/>
    <w:rsid w:val="0008136E"/>
    <w:rsid w:val="000829C7"/>
    <w:rsid w:val="000878F0"/>
    <w:rsid w:val="00092099"/>
    <w:rsid w:val="00093CE3"/>
    <w:rsid w:val="0009483E"/>
    <w:rsid w:val="00096FBD"/>
    <w:rsid w:val="000A102F"/>
    <w:rsid w:val="000A338B"/>
    <w:rsid w:val="000A6DAF"/>
    <w:rsid w:val="000B477B"/>
    <w:rsid w:val="000B4AC4"/>
    <w:rsid w:val="000B6215"/>
    <w:rsid w:val="000C0AF8"/>
    <w:rsid w:val="000C1469"/>
    <w:rsid w:val="000C6838"/>
    <w:rsid w:val="000D0A71"/>
    <w:rsid w:val="000F756E"/>
    <w:rsid w:val="000F7E40"/>
    <w:rsid w:val="00102A74"/>
    <w:rsid w:val="00111A4A"/>
    <w:rsid w:val="001250C4"/>
    <w:rsid w:val="00125EE7"/>
    <w:rsid w:val="00126533"/>
    <w:rsid w:val="00136F69"/>
    <w:rsid w:val="00146E22"/>
    <w:rsid w:val="001476CE"/>
    <w:rsid w:val="00147C30"/>
    <w:rsid w:val="00152537"/>
    <w:rsid w:val="00154EB9"/>
    <w:rsid w:val="001573D9"/>
    <w:rsid w:val="00165CA1"/>
    <w:rsid w:val="001713D3"/>
    <w:rsid w:val="00182166"/>
    <w:rsid w:val="0018493B"/>
    <w:rsid w:val="00193995"/>
    <w:rsid w:val="001A0264"/>
    <w:rsid w:val="001A3D2A"/>
    <w:rsid w:val="001B1065"/>
    <w:rsid w:val="001C3003"/>
    <w:rsid w:val="001D3B92"/>
    <w:rsid w:val="001D45C7"/>
    <w:rsid w:val="001D6A9A"/>
    <w:rsid w:val="001E2D8A"/>
    <w:rsid w:val="001F1472"/>
    <w:rsid w:val="001F708A"/>
    <w:rsid w:val="001F7ECB"/>
    <w:rsid w:val="00205543"/>
    <w:rsid w:val="0021711F"/>
    <w:rsid w:val="00221EEF"/>
    <w:rsid w:val="00224613"/>
    <w:rsid w:val="002257A9"/>
    <w:rsid w:val="0023036C"/>
    <w:rsid w:val="00235BC9"/>
    <w:rsid w:val="002379E6"/>
    <w:rsid w:val="00240798"/>
    <w:rsid w:val="00241CB8"/>
    <w:rsid w:val="002520AB"/>
    <w:rsid w:val="00252759"/>
    <w:rsid w:val="00255070"/>
    <w:rsid w:val="00256089"/>
    <w:rsid w:val="002611A0"/>
    <w:rsid w:val="00270BFA"/>
    <w:rsid w:val="00276589"/>
    <w:rsid w:val="0029413B"/>
    <w:rsid w:val="00295895"/>
    <w:rsid w:val="00295E2C"/>
    <w:rsid w:val="002A1A5D"/>
    <w:rsid w:val="002A6188"/>
    <w:rsid w:val="002B46B0"/>
    <w:rsid w:val="002B78D2"/>
    <w:rsid w:val="002C06AF"/>
    <w:rsid w:val="002C542B"/>
    <w:rsid w:val="002D4F0E"/>
    <w:rsid w:val="002D670E"/>
    <w:rsid w:val="002E60E3"/>
    <w:rsid w:val="002F3486"/>
    <w:rsid w:val="002F3BF0"/>
    <w:rsid w:val="003024DB"/>
    <w:rsid w:val="00310673"/>
    <w:rsid w:val="00316535"/>
    <w:rsid w:val="00316AA5"/>
    <w:rsid w:val="0032019F"/>
    <w:rsid w:val="00327A47"/>
    <w:rsid w:val="003450A7"/>
    <w:rsid w:val="00346BDE"/>
    <w:rsid w:val="00354A15"/>
    <w:rsid w:val="00374027"/>
    <w:rsid w:val="00386122"/>
    <w:rsid w:val="00393104"/>
    <w:rsid w:val="00396124"/>
    <w:rsid w:val="003A119F"/>
    <w:rsid w:val="003A7BA6"/>
    <w:rsid w:val="003B792C"/>
    <w:rsid w:val="003B7BB4"/>
    <w:rsid w:val="003B7C64"/>
    <w:rsid w:val="003C1BF0"/>
    <w:rsid w:val="003D4117"/>
    <w:rsid w:val="003E1843"/>
    <w:rsid w:val="003F23B6"/>
    <w:rsid w:val="003F73B0"/>
    <w:rsid w:val="00401838"/>
    <w:rsid w:val="00402570"/>
    <w:rsid w:val="00403EAD"/>
    <w:rsid w:val="00405B60"/>
    <w:rsid w:val="0040743B"/>
    <w:rsid w:val="00413C65"/>
    <w:rsid w:val="00433D4D"/>
    <w:rsid w:val="004353BF"/>
    <w:rsid w:val="0044035E"/>
    <w:rsid w:val="00440D01"/>
    <w:rsid w:val="00451701"/>
    <w:rsid w:val="004533D2"/>
    <w:rsid w:val="00466DBC"/>
    <w:rsid w:val="004748AF"/>
    <w:rsid w:val="00480A1A"/>
    <w:rsid w:val="00496305"/>
    <w:rsid w:val="00496D8A"/>
    <w:rsid w:val="004A38A2"/>
    <w:rsid w:val="004B2198"/>
    <w:rsid w:val="004B719B"/>
    <w:rsid w:val="004C0C94"/>
    <w:rsid w:val="004C5345"/>
    <w:rsid w:val="004D2BC0"/>
    <w:rsid w:val="004D7C37"/>
    <w:rsid w:val="004E29D9"/>
    <w:rsid w:val="004E6908"/>
    <w:rsid w:val="004F5448"/>
    <w:rsid w:val="00501DB4"/>
    <w:rsid w:val="00511B89"/>
    <w:rsid w:val="0051543E"/>
    <w:rsid w:val="00520D19"/>
    <w:rsid w:val="00527313"/>
    <w:rsid w:val="005328EC"/>
    <w:rsid w:val="00541D23"/>
    <w:rsid w:val="0054741C"/>
    <w:rsid w:val="005563A4"/>
    <w:rsid w:val="00560659"/>
    <w:rsid w:val="00567B0E"/>
    <w:rsid w:val="005705D6"/>
    <w:rsid w:val="0057071C"/>
    <w:rsid w:val="0057407F"/>
    <w:rsid w:val="0058115B"/>
    <w:rsid w:val="0058494D"/>
    <w:rsid w:val="00592261"/>
    <w:rsid w:val="00596FB8"/>
    <w:rsid w:val="00597173"/>
    <w:rsid w:val="00597794"/>
    <w:rsid w:val="005A7FDF"/>
    <w:rsid w:val="005B4E5A"/>
    <w:rsid w:val="005C25FB"/>
    <w:rsid w:val="005C5AE1"/>
    <w:rsid w:val="005D119B"/>
    <w:rsid w:val="005D52E6"/>
    <w:rsid w:val="005D5FE3"/>
    <w:rsid w:val="005D74BA"/>
    <w:rsid w:val="005D75DE"/>
    <w:rsid w:val="005E0367"/>
    <w:rsid w:val="005F367D"/>
    <w:rsid w:val="005F71C0"/>
    <w:rsid w:val="00600ABD"/>
    <w:rsid w:val="0060314E"/>
    <w:rsid w:val="006056AC"/>
    <w:rsid w:val="00606115"/>
    <w:rsid w:val="00607CB9"/>
    <w:rsid w:val="00612307"/>
    <w:rsid w:val="0062190B"/>
    <w:rsid w:val="0062386C"/>
    <w:rsid w:val="00631C26"/>
    <w:rsid w:val="00646ED7"/>
    <w:rsid w:val="006556DC"/>
    <w:rsid w:val="006610BA"/>
    <w:rsid w:val="00676356"/>
    <w:rsid w:val="0067678C"/>
    <w:rsid w:val="00680629"/>
    <w:rsid w:val="0068255F"/>
    <w:rsid w:val="00682E61"/>
    <w:rsid w:val="006A7C50"/>
    <w:rsid w:val="006B30E5"/>
    <w:rsid w:val="006B3612"/>
    <w:rsid w:val="006B6D6E"/>
    <w:rsid w:val="006C7970"/>
    <w:rsid w:val="006D335A"/>
    <w:rsid w:val="006D36F1"/>
    <w:rsid w:val="006D4BF2"/>
    <w:rsid w:val="006E3906"/>
    <w:rsid w:val="00700B60"/>
    <w:rsid w:val="007036EE"/>
    <w:rsid w:val="007102F8"/>
    <w:rsid w:val="007160B7"/>
    <w:rsid w:val="007253C7"/>
    <w:rsid w:val="0072663A"/>
    <w:rsid w:val="0073164A"/>
    <w:rsid w:val="0073641B"/>
    <w:rsid w:val="007408A6"/>
    <w:rsid w:val="00750797"/>
    <w:rsid w:val="0075618B"/>
    <w:rsid w:val="00763B7A"/>
    <w:rsid w:val="00775049"/>
    <w:rsid w:val="0079351F"/>
    <w:rsid w:val="00793955"/>
    <w:rsid w:val="007A1D5B"/>
    <w:rsid w:val="007B02DA"/>
    <w:rsid w:val="007C287A"/>
    <w:rsid w:val="007D1CAF"/>
    <w:rsid w:val="007D44C3"/>
    <w:rsid w:val="007E1560"/>
    <w:rsid w:val="007E5BB8"/>
    <w:rsid w:val="00801ED5"/>
    <w:rsid w:val="00802991"/>
    <w:rsid w:val="00807EEE"/>
    <w:rsid w:val="008131C4"/>
    <w:rsid w:val="00815C20"/>
    <w:rsid w:val="008166FA"/>
    <w:rsid w:val="00822AA7"/>
    <w:rsid w:val="00825934"/>
    <w:rsid w:val="00834C93"/>
    <w:rsid w:val="00853779"/>
    <w:rsid w:val="0085719D"/>
    <w:rsid w:val="00861295"/>
    <w:rsid w:val="0086184E"/>
    <w:rsid w:val="00862B44"/>
    <w:rsid w:val="008677F3"/>
    <w:rsid w:val="0087238A"/>
    <w:rsid w:val="00874136"/>
    <w:rsid w:val="0087639A"/>
    <w:rsid w:val="00877209"/>
    <w:rsid w:val="00880357"/>
    <w:rsid w:val="00897B51"/>
    <w:rsid w:val="008A6943"/>
    <w:rsid w:val="008C0E88"/>
    <w:rsid w:val="008C5CDF"/>
    <w:rsid w:val="008D003F"/>
    <w:rsid w:val="008D0A9B"/>
    <w:rsid w:val="008D5C4B"/>
    <w:rsid w:val="008E290F"/>
    <w:rsid w:val="008E319E"/>
    <w:rsid w:val="008E3295"/>
    <w:rsid w:val="008E45E7"/>
    <w:rsid w:val="008F3843"/>
    <w:rsid w:val="008F4298"/>
    <w:rsid w:val="00910C88"/>
    <w:rsid w:val="00932AA6"/>
    <w:rsid w:val="009335EE"/>
    <w:rsid w:val="00940E94"/>
    <w:rsid w:val="00943261"/>
    <w:rsid w:val="00952ABA"/>
    <w:rsid w:val="00953938"/>
    <w:rsid w:val="00953B50"/>
    <w:rsid w:val="009642E2"/>
    <w:rsid w:val="00967869"/>
    <w:rsid w:val="00981E2E"/>
    <w:rsid w:val="0098317A"/>
    <w:rsid w:val="009A6D00"/>
    <w:rsid w:val="009B0B84"/>
    <w:rsid w:val="009B144B"/>
    <w:rsid w:val="009B33B6"/>
    <w:rsid w:val="009B56C1"/>
    <w:rsid w:val="009B6709"/>
    <w:rsid w:val="009C3C16"/>
    <w:rsid w:val="009C62F4"/>
    <w:rsid w:val="009C7F24"/>
    <w:rsid w:val="009D0426"/>
    <w:rsid w:val="009E2247"/>
    <w:rsid w:val="009E3F45"/>
    <w:rsid w:val="009E4906"/>
    <w:rsid w:val="009E517B"/>
    <w:rsid w:val="009E5854"/>
    <w:rsid w:val="009E6E56"/>
    <w:rsid w:val="009E7871"/>
    <w:rsid w:val="009F7B35"/>
    <w:rsid w:val="00A0190C"/>
    <w:rsid w:val="00A0702B"/>
    <w:rsid w:val="00A1645B"/>
    <w:rsid w:val="00A325EC"/>
    <w:rsid w:val="00A567F4"/>
    <w:rsid w:val="00A579FE"/>
    <w:rsid w:val="00A626E7"/>
    <w:rsid w:val="00A7107D"/>
    <w:rsid w:val="00A75FBF"/>
    <w:rsid w:val="00A771D1"/>
    <w:rsid w:val="00A868D5"/>
    <w:rsid w:val="00A875E3"/>
    <w:rsid w:val="00AA1284"/>
    <w:rsid w:val="00AB4996"/>
    <w:rsid w:val="00AC1DDD"/>
    <w:rsid w:val="00AC5D83"/>
    <w:rsid w:val="00AD5411"/>
    <w:rsid w:val="00AE47BB"/>
    <w:rsid w:val="00AF57E0"/>
    <w:rsid w:val="00B005AD"/>
    <w:rsid w:val="00B03522"/>
    <w:rsid w:val="00B10938"/>
    <w:rsid w:val="00B15D13"/>
    <w:rsid w:val="00B204E9"/>
    <w:rsid w:val="00B21AED"/>
    <w:rsid w:val="00B31775"/>
    <w:rsid w:val="00B35174"/>
    <w:rsid w:val="00B404BF"/>
    <w:rsid w:val="00B4484A"/>
    <w:rsid w:val="00B44B60"/>
    <w:rsid w:val="00B44CBA"/>
    <w:rsid w:val="00B47083"/>
    <w:rsid w:val="00B56E9A"/>
    <w:rsid w:val="00B60840"/>
    <w:rsid w:val="00B60C8A"/>
    <w:rsid w:val="00B62F53"/>
    <w:rsid w:val="00B8060F"/>
    <w:rsid w:val="00B87318"/>
    <w:rsid w:val="00B92345"/>
    <w:rsid w:val="00BA203C"/>
    <w:rsid w:val="00BA5B62"/>
    <w:rsid w:val="00BC1727"/>
    <w:rsid w:val="00BC65EB"/>
    <w:rsid w:val="00BD4A21"/>
    <w:rsid w:val="00BE41E2"/>
    <w:rsid w:val="00BE6084"/>
    <w:rsid w:val="00BF3265"/>
    <w:rsid w:val="00BF5E9D"/>
    <w:rsid w:val="00C04287"/>
    <w:rsid w:val="00C12B23"/>
    <w:rsid w:val="00C20D04"/>
    <w:rsid w:val="00C2360B"/>
    <w:rsid w:val="00C23E8B"/>
    <w:rsid w:val="00C25194"/>
    <w:rsid w:val="00C315A3"/>
    <w:rsid w:val="00C42C83"/>
    <w:rsid w:val="00C56E9B"/>
    <w:rsid w:val="00C675FD"/>
    <w:rsid w:val="00C71883"/>
    <w:rsid w:val="00C75EE0"/>
    <w:rsid w:val="00C86404"/>
    <w:rsid w:val="00C96F4B"/>
    <w:rsid w:val="00CA4C9A"/>
    <w:rsid w:val="00CA7217"/>
    <w:rsid w:val="00CB6726"/>
    <w:rsid w:val="00CC52A5"/>
    <w:rsid w:val="00CE2F8D"/>
    <w:rsid w:val="00CF2C59"/>
    <w:rsid w:val="00CF37B9"/>
    <w:rsid w:val="00D13DBF"/>
    <w:rsid w:val="00D15D79"/>
    <w:rsid w:val="00D27CC4"/>
    <w:rsid w:val="00D27E5A"/>
    <w:rsid w:val="00D3246F"/>
    <w:rsid w:val="00D35946"/>
    <w:rsid w:val="00D61801"/>
    <w:rsid w:val="00D74577"/>
    <w:rsid w:val="00D8015E"/>
    <w:rsid w:val="00D91A44"/>
    <w:rsid w:val="00D9223B"/>
    <w:rsid w:val="00D97409"/>
    <w:rsid w:val="00DA4F3B"/>
    <w:rsid w:val="00DA4F57"/>
    <w:rsid w:val="00DB0586"/>
    <w:rsid w:val="00DF5311"/>
    <w:rsid w:val="00DF75B2"/>
    <w:rsid w:val="00E039F8"/>
    <w:rsid w:val="00E053DB"/>
    <w:rsid w:val="00E0619E"/>
    <w:rsid w:val="00E11671"/>
    <w:rsid w:val="00E157AC"/>
    <w:rsid w:val="00E259EF"/>
    <w:rsid w:val="00E3262E"/>
    <w:rsid w:val="00E335CD"/>
    <w:rsid w:val="00E51CB2"/>
    <w:rsid w:val="00E61FF0"/>
    <w:rsid w:val="00E66236"/>
    <w:rsid w:val="00E82B3F"/>
    <w:rsid w:val="00E84FB8"/>
    <w:rsid w:val="00EA06B7"/>
    <w:rsid w:val="00EA5CFB"/>
    <w:rsid w:val="00EC2F32"/>
    <w:rsid w:val="00ED7237"/>
    <w:rsid w:val="00EE34E3"/>
    <w:rsid w:val="00EE6063"/>
    <w:rsid w:val="00EE6207"/>
    <w:rsid w:val="00EF189F"/>
    <w:rsid w:val="00EF6DE6"/>
    <w:rsid w:val="00F23D46"/>
    <w:rsid w:val="00F44382"/>
    <w:rsid w:val="00F619E7"/>
    <w:rsid w:val="00F633CA"/>
    <w:rsid w:val="00F658FF"/>
    <w:rsid w:val="00F80A50"/>
    <w:rsid w:val="00F80B99"/>
    <w:rsid w:val="00F838F6"/>
    <w:rsid w:val="00F8632C"/>
    <w:rsid w:val="00FA6002"/>
    <w:rsid w:val="00FB6327"/>
    <w:rsid w:val="00FC7A7C"/>
    <w:rsid w:val="00FD225D"/>
    <w:rsid w:val="00FD29A1"/>
    <w:rsid w:val="00FD2EC3"/>
    <w:rsid w:val="00FD4BE7"/>
    <w:rsid w:val="00FD6AF4"/>
    <w:rsid w:val="00FE1AD1"/>
    <w:rsid w:val="00FE373B"/>
    <w:rsid w:val="00FE4348"/>
    <w:rsid w:val="00FF1C92"/>
    <w:rsid w:val="00FF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E3DC83"/>
  <w15:chartTrackingRefBased/>
  <w15:docId w15:val="{398B1BBB-D020-4030-B218-6D3187CA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D00"/>
  </w:style>
  <w:style w:type="paragraph" w:styleId="Heading1">
    <w:name w:val="heading 1"/>
    <w:basedOn w:val="Normal"/>
    <w:next w:val="Normal"/>
    <w:link w:val="Heading1Char"/>
    <w:uiPriority w:val="9"/>
    <w:qFormat/>
    <w:rsid w:val="009A6D00"/>
    <w:pPr>
      <w:keepNext/>
      <w:keepLines/>
      <w:spacing w:before="240" w:after="0"/>
      <w:outlineLvl w:val="0"/>
    </w:pPr>
    <w:rPr>
      <w:rFonts w:ascii="Arial" w:eastAsiaTheme="majorEastAsia" w:hAnsi="Arial" w:cstheme="majorBidi"/>
      <w:color w:val="003300"/>
      <w:szCs w:val="32"/>
    </w:rPr>
  </w:style>
  <w:style w:type="paragraph" w:styleId="Heading2">
    <w:name w:val="heading 2"/>
    <w:basedOn w:val="Normal"/>
    <w:next w:val="Normal"/>
    <w:link w:val="Heading2Char"/>
    <w:uiPriority w:val="9"/>
    <w:unhideWhenUsed/>
    <w:qFormat/>
    <w:rsid w:val="005D5FE3"/>
    <w:pPr>
      <w:keepNext/>
      <w:keepLines/>
      <w:spacing w:before="40" w:after="0"/>
      <w:outlineLvl w:val="1"/>
    </w:pPr>
    <w:rPr>
      <w:rFonts w:ascii="Arial" w:eastAsiaTheme="majorEastAsia" w:hAnsi="Arial" w:cstheme="majorBidi"/>
      <w:color w:val="0033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90F"/>
  </w:style>
  <w:style w:type="paragraph" w:styleId="Footer">
    <w:name w:val="footer"/>
    <w:basedOn w:val="Normal"/>
    <w:link w:val="FooterChar"/>
    <w:uiPriority w:val="99"/>
    <w:unhideWhenUsed/>
    <w:rsid w:val="008E2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90F"/>
  </w:style>
  <w:style w:type="character" w:customStyle="1" w:styleId="Heading1Char">
    <w:name w:val="Heading 1 Char"/>
    <w:basedOn w:val="DefaultParagraphFont"/>
    <w:link w:val="Heading1"/>
    <w:uiPriority w:val="9"/>
    <w:rsid w:val="009A6D00"/>
    <w:rPr>
      <w:rFonts w:ascii="Arial" w:eastAsiaTheme="majorEastAsia" w:hAnsi="Arial" w:cstheme="majorBidi"/>
      <w:color w:val="003300"/>
      <w:szCs w:val="32"/>
    </w:rPr>
  </w:style>
  <w:style w:type="table" w:styleId="TableGrid">
    <w:name w:val="Table Grid"/>
    <w:basedOn w:val="TableNormal"/>
    <w:uiPriority w:val="39"/>
    <w:rsid w:val="009A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D00"/>
    <w:pPr>
      <w:ind w:left="720"/>
      <w:contextualSpacing/>
    </w:pPr>
  </w:style>
  <w:style w:type="paragraph" w:styleId="TOCHeading">
    <w:name w:val="TOC Heading"/>
    <w:basedOn w:val="Heading1"/>
    <w:next w:val="Normal"/>
    <w:uiPriority w:val="39"/>
    <w:unhideWhenUsed/>
    <w:qFormat/>
    <w:rsid w:val="009A6D00"/>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9A6D00"/>
    <w:pPr>
      <w:spacing w:after="100"/>
    </w:pPr>
  </w:style>
  <w:style w:type="character" w:styleId="Hyperlink">
    <w:name w:val="Hyperlink"/>
    <w:basedOn w:val="DefaultParagraphFont"/>
    <w:uiPriority w:val="99"/>
    <w:unhideWhenUsed/>
    <w:rsid w:val="009A6D00"/>
    <w:rPr>
      <w:color w:val="0563C1" w:themeColor="hyperlink"/>
      <w:u w:val="single"/>
    </w:rPr>
  </w:style>
  <w:style w:type="character" w:customStyle="1" w:styleId="Heading2Char">
    <w:name w:val="Heading 2 Char"/>
    <w:basedOn w:val="DefaultParagraphFont"/>
    <w:link w:val="Heading2"/>
    <w:uiPriority w:val="9"/>
    <w:rsid w:val="005D5FE3"/>
    <w:rPr>
      <w:rFonts w:ascii="Arial" w:eastAsiaTheme="majorEastAsia" w:hAnsi="Arial" w:cstheme="majorBidi"/>
      <w:color w:val="003300"/>
      <w:szCs w:val="26"/>
    </w:rPr>
  </w:style>
  <w:style w:type="paragraph" w:styleId="Caption">
    <w:name w:val="caption"/>
    <w:basedOn w:val="Normal"/>
    <w:next w:val="Normal"/>
    <w:uiPriority w:val="35"/>
    <w:unhideWhenUsed/>
    <w:qFormat/>
    <w:rsid w:val="006D36F1"/>
    <w:pPr>
      <w:spacing w:after="200" w:line="240" w:lineRule="auto"/>
    </w:pPr>
    <w:rPr>
      <w:rFonts w:ascii="Arial" w:hAnsi="Arial"/>
      <w:i/>
      <w:iCs/>
      <w:color w:val="003300"/>
      <w:sz w:val="16"/>
      <w:szCs w:val="18"/>
    </w:rPr>
  </w:style>
  <w:style w:type="paragraph" w:styleId="TableofFigures">
    <w:name w:val="table of figures"/>
    <w:basedOn w:val="Normal"/>
    <w:next w:val="Normal"/>
    <w:uiPriority w:val="99"/>
    <w:unhideWhenUsed/>
    <w:rsid w:val="001A0264"/>
    <w:pPr>
      <w:spacing w:after="0"/>
    </w:pPr>
  </w:style>
  <w:style w:type="character" w:styleId="FollowedHyperlink">
    <w:name w:val="FollowedHyperlink"/>
    <w:basedOn w:val="DefaultParagraphFont"/>
    <w:uiPriority w:val="99"/>
    <w:semiHidden/>
    <w:unhideWhenUsed/>
    <w:rsid w:val="009B33B6"/>
    <w:rPr>
      <w:color w:val="954F72" w:themeColor="followedHyperlink"/>
      <w:u w:val="single"/>
    </w:rPr>
  </w:style>
  <w:style w:type="paragraph" w:styleId="TOC2">
    <w:name w:val="toc 2"/>
    <w:basedOn w:val="Normal"/>
    <w:next w:val="Normal"/>
    <w:autoRedefine/>
    <w:uiPriority w:val="39"/>
    <w:unhideWhenUsed/>
    <w:rsid w:val="006D36F1"/>
    <w:pPr>
      <w:spacing w:after="100"/>
      <w:ind w:left="220"/>
    </w:pPr>
  </w:style>
  <w:style w:type="character" w:styleId="CommentReference">
    <w:name w:val="annotation reference"/>
    <w:basedOn w:val="DefaultParagraphFont"/>
    <w:uiPriority w:val="99"/>
    <w:semiHidden/>
    <w:unhideWhenUsed/>
    <w:rsid w:val="001476CE"/>
    <w:rPr>
      <w:sz w:val="16"/>
      <w:szCs w:val="16"/>
    </w:rPr>
  </w:style>
  <w:style w:type="paragraph" w:styleId="CommentText">
    <w:name w:val="annotation text"/>
    <w:basedOn w:val="Normal"/>
    <w:link w:val="CommentTextChar"/>
    <w:uiPriority w:val="99"/>
    <w:semiHidden/>
    <w:unhideWhenUsed/>
    <w:rsid w:val="001476CE"/>
    <w:pPr>
      <w:spacing w:line="240" w:lineRule="auto"/>
    </w:pPr>
    <w:rPr>
      <w:sz w:val="20"/>
      <w:szCs w:val="20"/>
    </w:rPr>
  </w:style>
  <w:style w:type="character" w:customStyle="1" w:styleId="CommentTextChar">
    <w:name w:val="Comment Text Char"/>
    <w:basedOn w:val="DefaultParagraphFont"/>
    <w:link w:val="CommentText"/>
    <w:uiPriority w:val="99"/>
    <w:semiHidden/>
    <w:rsid w:val="001476CE"/>
    <w:rPr>
      <w:sz w:val="20"/>
      <w:szCs w:val="20"/>
    </w:rPr>
  </w:style>
  <w:style w:type="paragraph" w:styleId="CommentSubject">
    <w:name w:val="annotation subject"/>
    <w:basedOn w:val="CommentText"/>
    <w:next w:val="CommentText"/>
    <w:link w:val="CommentSubjectChar"/>
    <w:uiPriority w:val="99"/>
    <w:semiHidden/>
    <w:unhideWhenUsed/>
    <w:rsid w:val="001476CE"/>
    <w:rPr>
      <w:b/>
      <w:bCs/>
    </w:rPr>
  </w:style>
  <w:style w:type="character" w:customStyle="1" w:styleId="CommentSubjectChar">
    <w:name w:val="Comment Subject Char"/>
    <w:basedOn w:val="CommentTextChar"/>
    <w:link w:val="CommentSubject"/>
    <w:uiPriority w:val="99"/>
    <w:semiHidden/>
    <w:rsid w:val="001476CE"/>
    <w:rPr>
      <w:b/>
      <w:bCs/>
      <w:sz w:val="20"/>
      <w:szCs w:val="20"/>
    </w:rPr>
  </w:style>
  <w:style w:type="paragraph" w:styleId="BalloonText">
    <w:name w:val="Balloon Text"/>
    <w:basedOn w:val="Normal"/>
    <w:link w:val="BalloonTextChar"/>
    <w:uiPriority w:val="99"/>
    <w:semiHidden/>
    <w:unhideWhenUsed/>
    <w:rsid w:val="00147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CE"/>
    <w:rPr>
      <w:rFonts w:ascii="Segoe UI" w:hAnsi="Segoe UI" w:cs="Segoe UI"/>
      <w:sz w:val="18"/>
      <w:szCs w:val="18"/>
    </w:rPr>
  </w:style>
  <w:style w:type="paragraph" w:styleId="Revision">
    <w:name w:val="Revision"/>
    <w:hidden/>
    <w:uiPriority w:val="99"/>
    <w:semiHidden/>
    <w:rsid w:val="009E5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B18AB-CF68-4FCA-8CA3-0A9B9F94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Persimmon Homes</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Persimmon Homes</dc:creator>
  <cp:keywords/>
  <dc:description/>
  <cp:lastModifiedBy>MacDougall, Dominic</cp:lastModifiedBy>
  <cp:revision>20</cp:revision>
  <cp:lastPrinted>2020-04-22T14:00:00Z</cp:lastPrinted>
  <dcterms:created xsi:type="dcterms:W3CDTF">2021-01-25T10:58:00Z</dcterms:created>
  <dcterms:modified xsi:type="dcterms:W3CDTF">2021-06-21T10:10:00Z</dcterms:modified>
</cp:coreProperties>
</file>