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4168" w14:textId="0F1337CD" w:rsidR="006576F0" w:rsidRPr="006576F0" w:rsidRDefault="006576F0" w:rsidP="006576F0">
      <w:pPr>
        <w:rPr>
          <w:rFonts w:ascii="Arial" w:eastAsiaTheme="majorEastAsia" w:hAnsi="Arial" w:cs="Arial"/>
          <w:b/>
          <w:color w:val="000000" w:themeColor="text1"/>
          <w:sz w:val="32"/>
          <w:szCs w:val="32"/>
          <w:lang w:eastAsia="en-GB"/>
        </w:rPr>
      </w:pPr>
      <w:bookmarkStart w:id="0" w:name="_Hlk81906735"/>
      <w:r w:rsidRPr="006576F0">
        <w:rPr>
          <w:rFonts w:ascii="Arial" w:eastAsiaTheme="majorEastAsia" w:hAnsi="Arial" w:cs="Arial"/>
          <w:b/>
          <w:color w:val="000000" w:themeColor="text1"/>
          <w:sz w:val="32"/>
          <w:szCs w:val="32"/>
          <w:lang w:eastAsia="en-GB"/>
        </w:rPr>
        <w:t>PLANNING STATEMENT</w:t>
      </w:r>
      <w:r w:rsidRPr="006576F0">
        <w:rPr>
          <w:rFonts w:ascii="Arial" w:eastAsiaTheme="majorEastAsia" w:hAnsi="Arial" w:cs="Arial"/>
          <w:b/>
          <w:color w:val="000000" w:themeColor="text1"/>
          <w:sz w:val="32"/>
          <w:szCs w:val="32"/>
          <w:lang w:eastAsia="en-GB"/>
        </w:rPr>
        <w:br/>
      </w:r>
    </w:p>
    <w:p w14:paraId="295624D3" w14:textId="7523A59C" w:rsidR="006576F0" w:rsidRPr="006576F0" w:rsidRDefault="007F4817" w:rsidP="006576F0">
      <w:pPr>
        <w:rPr>
          <w:rFonts w:ascii="Arial" w:hAnsi="Arial" w:cs="Arial"/>
          <w:b/>
          <w:sz w:val="32"/>
          <w:szCs w:val="32"/>
        </w:rPr>
      </w:pPr>
      <w:r>
        <w:rPr>
          <w:rFonts w:ascii="Arial" w:hAnsi="Arial" w:cs="Arial"/>
          <w:b/>
          <w:sz w:val="32"/>
          <w:szCs w:val="32"/>
        </w:rPr>
        <w:t>CONVERSION OF FORMER CARE HOME INTO 5 FLATS</w:t>
      </w:r>
    </w:p>
    <w:p w14:paraId="68CF77A9" w14:textId="0E1FAA71" w:rsidR="006576F0" w:rsidRPr="006576F0" w:rsidRDefault="007F4817" w:rsidP="006576F0">
      <w:pPr>
        <w:rPr>
          <w:rFonts w:ascii="Arial" w:hAnsi="Arial" w:cs="Arial"/>
          <w:b/>
          <w:sz w:val="32"/>
          <w:szCs w:val="32"/>
        </w:rPr>
      </w:pPr>
      <w:r>
        <w:rPr>
          <w:rFonts w:ascii="Arial" w:hAnsi="Arial" w:cs="Arial"/>
          <w:b/>
          <w:sz w:val="32"/>
          <w:szCs w:val="32"/>
        </w:rPr>
        <w:t xml:space="preserve">FORMER DUNEDIN RESIDENTIAL CARE HOME, </w:t>
      </w:r>
      <w:r w:rsidR="004F5958">
        <w:rPr>
          <w:rFonts w:ascii="Arial" w:hAnsi="Arial" w:cs="Arial"/>
          <w:b/>
          <w:sz w:val="32"/>
          <w:szCs w:val="32"/>
        </w:rPr>
        <w:t xml:space="preserve"> </w:t>
      </w:r>
      <w:r>
        <w:rPr>
          <w:rFonts w:ascii="Arial" w:hAnsi="Arial" w:cs="Arial"/>
          <w:b/>
          <w:sz w:val="32"/>
          <w:szCs w:val="32"/>
        </w:rPr>
        <w:br/>
      </w:r>
      <w:r w:rsidR="004F5958">
        <w:rPr>
          <w:rFonts w:ascii="Arial" w:hAnsi="Arial" w:cs="Arial"/>
          <w:b/>
          <w:sz w:val="32"/>
          <w:szCs w:val="32"/>
        </w:rPr>
        <w:t>10, CONNAUGHT GARDENS EAST</w:t>
      </w:r>
      <w:r w:rsidR="006576F0">
        <w:rPr>
          <w:rFonts w:ascii="Arial" w:hAnsi="Arial" w:cs="Arial"/>
          <w:b/>
          <w:sz w:val="32"/>
          <w:szCs w:val="32"/>
        </w:rPr>
        <w:t>, CLACTON</w:t>
      </w:r>
      <w:r w:rsidR="00091932">
        <w:rPr>
          <w:rFonts w:ascii="Arial" w:hAnsi="Arial" w:cs="Arial"/>
          <w:b/>
          <w:sz w:val="32"/>
          <w:szCs w:val="32"/>
        </w:rPr>
        <w:t>-ON-SEA</w:t>
      </w:r>
      <w:r w:rsidR="006576F0">
        <w:rPr>
          <w:rFonts w:ascii="Arial" w:hAnsi="Arial" w:cs="Arial"/>
          <w:b/>
          <w:sz w:val="32"/>
          <w:szCs w:val="32"/>
        </w:rPr>
        <w:t xml:space="preserve"> </w:t>
      </w:r>
    </w:p>
    <w:p w14:paraId="04216B5F" w14:textId="272B767E" w:rsidR="00246C1A" w:rsidRDefault="00F857CE" w:rsidP="00F007F9">
      <w:pPr>
        <w:spacing w:line="360" w:lineRule="auto"/>
        <w:jc w:val="both"/>
        <w:rPr>
          <w:rFonts w:ascii="Arial" w:hAnsi="Arial" w:cs="Arial"/>
          <w:color w:val="000000"/>
        </w:rPr>
      </w:pPr>
      <w:r>
        <w:rPr>
          <w:noProof/>
        </w:rPr>
        <w:drawing>
          <wp:inline distT="0" distB="0" distL="0" distR="0" wp14:anchorId="496D7ECA" wp14:editId="20CFB4C6">
            <wp:extent cx="5731510" cy="44513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739" t="24818" r="33027" b="27910"/>
                    <a:stretch/>
                  </pic:blipFill>
                  <pic:spPr bwMode="auto">
                    <a:xfrm>
                      <a:off x="0" y="0"/>
                      <a:ext cx="5731510" cy="4451350"/>
                    </a:xfrm>
                    <a:prstGeom prst="rect">
                      <a:avLst/>
                    </a:prstGeom>
                    <a:ln>
                      <a:noFill/>
                    </a:ln>
                    <a:extLst>
                      <a:ext uri="{53640926-AAD7-44D8-BBD7-CCE9431645EC}">
                        <a14:shadowObscured xmlns:a14="http://schemas.microsoft.com/office/drawing/2010/main"/>
                      </a:ext>
                    </a:extLst>
                  </pic:spPr>
                </pic:pic>
              </a:graphicData>
            </a:graphic>
          </wp:inline>
        </w:drawing>
      </w:r>
    </w:p>
    <w:p w14:paraId="185EBA10" w14:textId="3A44C8F5" w:rsidR="0097360B" w:rsidRDefault="005822FA" w:rsidP="00F007F9">
      <w:pPr>
        <w:spacing w:line="360" w:lineRule="auto"/>
        <w:jc w:val="both"/>
        <w:rPr>
          <w:rFonts w:ascii="Arial" w:hAnsi="Arial" w:cs="Arial"/>
          <w:color w:val="000000"/>
        </w:rPr>
      </w:pPr>
      <w:bookmarkStart w:id="1" w:name="_Hlk81904280"/>
      <w:r w:rsidRPr="003F6686">
        <w:rPr>
          <w:rFonts w:ascii="Arial" w:hAnsi="Arial" w:cs="Arial"/>
          <w:color w:val="000000"/>
        </w:rPr>
        <w:t>This</w:t>
      </w:r>
      <w:r>
        <w:rPr>
          <w:rFonts w:ascii="Arial" w:hAnsi="Arial" w:cs="Arial"/>
          <w:color w:val="000000"/>
        </w:rPr>
        <w:t xml:space="preserve"> is a</w:t>
      </w:r>
      <w:r w:rsidRPr="003F6686">
        <w:rPr>
          <w:rFonts w:ascii="Arial" w:hAnsi="Arial" w:cs="Arial"/>
          <w:color w:val="000000"/>
        </w:rPr>
        <w:t xml:space="preserve"> Planning</w:t>
      </w:r>
      <w:r w:rsidR="001B0CE4">
        <w:rPr>
          <w:rFonts w:ascii="Arial" w:hAnsi="Arial" w:cs="Arial"/>
          <w:color w:val="000000"/>
        </w:rPr>
        <w:t xml:space="preserve"> &amp; Design and Access</w:t>
      </w:r>
      <w:r>
        <w:rPr>
          <w:rFonts w:ascii="Arial" w:hAnsi="Arial" w:cs="Arial"/>
          <w:color w:val="000000"/>
        </w:rPr>
        <w:t xml:space="preserve"> </w:t>
      </w:r>
      <w:r w:rsidRPr="003F6686">
        <w:rPr>
          <w:rFonts w:ascii="Arial" w:hAnsi="Arial" w:cs="Arial"/>
          <w:color w:val="000000"/>
        </w:rPr>
        <w:t>Statement</w:t>
      </w:r>
      <w:r>
        <w:rPr>
          <w:rFonts w:ascii="Arial" w:hAnsi="Arial" w:cs="Arial"/>
          <w:color w:val="000000"/>
        </w:rPr>
        <w:t xml:space="preserve"> </w:t>
      </w:r>
      <w:r w:rsidRPr="003F6686">
        <w:rPr>
          <w:rFonts w:ascii="Arial" w:hAnsi="Arial" w:cs="Arial"/>
          <w:color w:val="000000"/>
        </w:rPr>
        <w:t xml:space="preserve">prepared on behalf of </w:t>
      </w:r>
      <w:proofErr w:type="spellStart"/>
      <w:r w:rsidR="004F5958">
        <w:rPr>
          <w:rFonts w:ascii="Arial" w:hAnsi="Arial" w:cs="Arial"/>
          <w:color w:val="000000"/>
        </w:rPr>
        <w:t>Bilaman</w:t>
      </w:r>
      <w:proofErr w:type="spellEnd"/>
      <w:r w:rsidR="004F5958">
        <w:rPr>
          <w:rFonts w:ascii="Arial" w:hAnsi="Arial" w:cs="Arial"/>
          <w:color w:val="000000"/>
        </w:rPr>
        <w:t xml:space="preserve"> Limited </w:t>
      </w:r>
      <w:r w:rsidRPr="003F6686">
        <w:rPr>
          <w:rFonts w:ascii="Arial" w:hAnsi="Arial" w:cs="Arial"/>
          <w:color w:val="000000"/>
        </w:rPr>
        <w:t>and is submitted in support of a</w:t>
      </w:r>
      <w:r>
        <w:rPr>
          <w:rFonts w:ascii="Arial" w:hAnsi="Arial" w:cs="Arial"/>
          <w:color w:val="000000"/>
        </w:rPr>
        <w:t xml:space="preserve"> full</w:t>
      </w:r>
      <w:r w:rsidRPr="003F6686">
        <w:rPr>
          <w:rFonts w:ascii="Arial" w:hAnsi="Arial" w:cs="Arial"/>
          <w:color w:val="000000"/>
        </w:rPr>
        <w:t xml:space="preserve"> planning application for the </w:t>
      </w:r>
      <w:r w:rsidR="00F857CE">
        <w:rPr>
          <w:rFonts w:ascii="Arial" w:hAnsi="Arial" w:cs="Arial"/>
          <w:color w:val="000000"/>
        </w:rPr>
        <w:t>conversion of a former Residential Care Home</w:t>
      </w:r>
      <w:r w:rsidRPr="003F6686">
        <w:rPr>
          <w:rFonts w:ascii="Arial" w:hAnsi="Arial" w:cs="Arial"/>
          <w:color w:val="000000"/>
        </w:rPr>
        <w:t xml:space="preserve"> </w:t>
      </w:r>
      <w:r w:rsidR="00F857CE">
        <w:rPr>
          <w:rFonts w:ascii="Arial" w:hAnsi="Arial" w:cs="Arial"/>
          <w:color w:val="000000"/>
        </w:rPr>
        <w:t xml:space="preserve">at 10, </w:t>
      </w:r>
      <w:r w:rsidR="004F5958">
        <w:rPr>
          <w:rFonts w:ascii="Arial" w:hAnsi="Arial" w:cs="Arial"/>
          <w:color w:val="000000"/>
        </w:rPr>
        <w:t>Connaught Gardens East, Clacton on Sea</w:t>
      </w:r>
      <w:r w:rsidR="00157A53">
        <w:rPr>
          <w:rFonts w:ascii="Arial" w:hAnsi="Arial" w:cs="Arial"/>
          <w:color w:val="000000"/>
        </w:rPr>
        <w:t xml:space="preserve"> into 5 luxury flats</w:t>
      </w:r>
      <w:r w:rsidR="004F5958">
        <w:rPr>
          <w:rFonts w:ascii="Arial" w:hAnsi="Arial" w:cs="Arial"/>
          <w:color w:val="000000"/>
        </w:rPr>
        <w:t xml:space="preserve">. </w:t>
      </w:r>
    </w:p>
    <w:bookmarkEnd w:id="1"/>
    <w:p w14:paraId="3C1EDAF3" w14:textId="428D3701" w:rsidR="005822FA" w:rsidRDefault="004F5958" w:rsidP="00F007F9">
      <w:pPr>
        <w:spacing w:line="360" w:lineRule="auto"/>
        <w:jc w:val="both"/>
        <w:rPr>
          <w:rFonts w:ascii="Arial" w:hAnsi="Arial" w:cs="Arial"/>
          <w:bCs/>
          <w:color w:val="000000"/>
        </w:rPr>
      </w:pPr>
      <w:r>
        <w:rPr>
          <w:rFonts w:ascii="Arial" w:hAnsi="Arial" w:cs="Arial"/>
          <w:bCs/>
          <w:color w:val="000000"/>
        </w:rPr>
        <w:t xml:space="preserve">The </w:t>
      </w:r>
      <w:r w:rsidR="00CA38CF">
        <w:rPr>
          <w:rFonts w:ascii="Arial" w:hAnsi="Arial" w:cs="Arial"/>
          <w:bCs/>
          <w:color w:val="000000"/>
        </w:rPr>
        <w:t>site is located near the southern end of the road a short distance from its junction with the Marine Parade East</w:t>
      </w:r>
      <w:r w:rsidR="00644BE4">
        <w:rPr>
          <w:rFonts w:ascii="Arial" w:hAnsi="Arial" w:cs="Arial"/>
          <w:bCs/>
          <w:color w:val="000000"/>
        </w:rPr>
        <w:t xml:space="preserve"> which is the seafront road</w:t>
      </w:r>
      <w:r w:rsidR="00CA38CF">
        <w:rPr>
          <w:rFonts w:ascii="Arial" w:hAnsi="Arial" w:cs="Arial"/>
          <w:bCs/>
          <w:color w:val="000000"/>
        </w:rPr>
        <w:t xml:space="preserve">. Connaught Close is located along the southern boundary of the site. The </w:t>
      </w:r>
      <w:r>
        <w:rPr>
          <w:rFonts w:ascii="Arial" w:hAnsi="Arial" w:cs="Arial"/>
          <w:bCs/>
          <w:color w:val="000000"/>
        </w:rPr>
        <w:t>property</w:t>
      </w:r>
      <w:r w:rsidR="00F857CE">
        <w:rPr>
          <w:rFonts w:ascii="Arial" w:hAnsi="Arial" w:cs="Arial"/>
          <w:bCs/>
          <w:color w:val="000000"/>
        </w:rPr>
        <w:t>, a</w:t>
      </w:r>
      <w:r>
        <w:rPr>
          <w:rFonts w:ascii="Arial" w:hAnsi="Arial" w:cs="Arial"/>
          <w:bCs/>
          <w:color w:val="000000"/>
        </w:rPr>
        <w:t xml:space="preserve"> </w:t>
      </w:r>
      <w:r w:rsidR="00F857CE">
        <w:rPr>
          <w:rFonts w:ascii="Arial" w:hAnsi="Arial" w:cs="Arial"/>
          <w:bCs/>
          <w:color w:val="000000"/>
        </w:rPr>
        <w:t>former</w:t>
      </w:r>
      <w:r>
        <w:rPr>
          <w:rFonts w:ascii="Arial" w:hAnsi="Arial" w:cs="Arial"/>
          <w:bCs/>
          <w:color w:val="000000"/>
        </w:rPr>
        <w:t xml:space="preserve"> Care Home</w:t>
      </w:r>
      <w:r w:rsidR="00F857CE">
        <w:rPr>
          <w:rFonts w:ascii="Arial" w:hAnsi="Arial" w:cs="Arial"/>
          <w:bCs/>
          <w:color w:val="000000"/>
        </w:rPr>
        <w:t xml:space="preserve"> is </w:t>
      </w:r>
      <w:r>
        <w:rPr>
          <w:rFonts w:ascii="Arial" w:hAnsi="Arial" w:cs="Arial"/>
          <w:bCs/>
          <w:color w:val="000000"/>
        </w:rPr>
        <w:t xml:space="preserve">currently vacant, </w:t>
      </w:r>
      <w:r w:rsidR="00F857CE">
        <w:rPr>
          <w:rFonts w:ascii="Arial" w:hAnsi="Arial" w:cs="Arial"/>
          <w:bCs/>
          <w:color w:val="000000"/>
        </w:rPr>
        <w:t xml:space="preserve">having closed some 3 and a half years ago following a CQC inspection. There is a former </w:t>
      </w:r>
      <w:r w:rsidR="00CA38CF">
        <w:rPr>
          <w:rFonts w:ascii="Arial" w:hAnsi="Arial" w:cs="Arial"/>
          <w:bCs/>
          <w:color w:val="000000"/>
        </w:rPr>
        <w:t xml:space="preserve">Coach House located in </w:t>
      </w:r>
      <w:r w:rsidR="00F857CE">
        <w:rPr>
          <w:rFonts w:ascii="Arial" w:hAnsi="Arial" w:cs="Arial"/>
          <w:bCs/>
          <w:color w:val="000000"/>
        </w:rPr>
        <w:t xml:space="preserve">the </w:t>
      </w:r>
      <w:proofErr w:type="gramStart"/>
      <w:r w:rsidR="00CA38CF">
        <w:rPr>
          <w:rFonts w:ascii="Arial" w:hAnsi="Arial" w:cs="Arial"/>
          <w:bCs/>
          <w:color w:val="000000"/>
        </w:rPr>
        <w:t>north eastern</w:t>
      </w:r>
      <w:proofErr w:type="gramEnd"/>
      <w:r w:rsidR="00CA38CF">
        <w:rPr>
          <w:rFonts w:ascii="Arial" w:hAnsi="Arial" w:cs="Arial"/>
          <w:bCs/>
          <w:color w:val="000000"/>
        </w:rPr>
        <w:t xml:space="preserve"> corner of the site. </w:t>
      </w:r>
    </w:p>
    <w:p w14:paraId="21D0DB09" w14:textId="77777777" w:rsidR="00E96E3F" w:rsidRDefault="00E96E3F" w:rsidP="0061019A">
      <w:pPr>
        <w:spacing w:after="120" w:line="360" w:lineRule="auto"/>
        <w:jc w:val="both"/>
        <w:rPr>
          <w:rFonts w:ascii="Arial" w:hAnsi="Arial" w:cs="Arial"/>
          <w:bCs/>
          <w:color w:val="000000"/>
        </w:rPr>
      </w:pPr>
    </w:p>
    <w:p w14:paraId="227B2BFF" w14:textId="3AF69C24" w:rsidR="00321234" w:rsidRDefault="00321234" w:rsidP="0061019A">
      <w:pPr>
        <w:spacing w:after="120" w:line="360" w:lineRule="auto"/>
        <w:jc w:val="both"/>
        <w:rPr>
          <w:rFonts w:ascii="Arial" w:eastAsia="Calibri" w:hAnsi="Arial" w:cs="Arial"/>
          <w:color w:val="000000"/>
          <w:lang w:eastAsia="en-GB"/>
        </w:rPr>
      </w:pPr>
      <w:r w:rsidRPr="00321234">
        <w:rPr>
          <w:rFonts w:ascii="Arial" w:eastAsia="Calibri" w:hAnsi="Arial" w:cs="Arial"/>
          <w:color w:val="000000"/>
          <w:lang w:eastAsia="en-GB"/>
        </w:rPr>
        <w:lastRenderedPageBreak/>
        <w:t>The site is located within the Settlement Development Boundary (SDB) for Clacton</w:t>
      </w:r>
      <w:r w:rsidR="0061019A">
        <w:rPr>
          <w:rFonts w:ascii="Arial" w:eastAsia="Calibri" w:hAnsi="Arial" w:cs="Arial"/>
          <w:color w:val="000000"/>
          <w:lang w:eastAsia="en-GB"/>
        </w:rPr>
        <w:br/>
        <w:t xml:space="preserve">on </w:t>
      </w:r>
      <w:r w:rsidRPr="00321234">
        <w:rPr>
          <w:rFonts w:ascii="Arial" w:eastAsia="Calibri" w:hAnsi="Arial" w:cs="Arial"/>
          <w:color w:val="000000"/>
          <w:lang w:eastAsia="en-GB"/>
        </w:rPr>
        <w:t xml:space="preserve">Sea, as established within the emerging local plan. Policy HG3 of the Tendring District Local Plan 2007 states that within defined development boundaries of towns and villages, residential development will be permitted provided it satisfies amenity, design, density, environmental, highway, local housing needs and sustainability criteria, as appropriate, and can take place without material harm to the character of the local area. </w:t>
      </w:r>
    </w:p>
    <w:p w14:paraId="7E32A0D6" w14:textId="6C6C5CF2" w:rsidR="00321234" w:rsidRDefault="00321234" w:rsidP="0061019A">
      <w:pPr>
        <w:spacing w:after="142" w:line="360" w:lineRule="auto"/>
        <w:jc w:val="both"/>
        <w:rPr>
          <w:rFonts w:ascii="Arial" w:eastAsia="Calibri" w:hAnsi="Arial" w:cs="Arial"/>
          <w:color w:val="000000"/>
          <w:lang w:eastAsia="en-GB"/>
        </w:rPr>
      </w:pPr>
      <w:r w:rsidRPr="00321234">
        <w:rPr>
          <w:rFonts w:ascii="Arial" w:eastAsia="Calibri" w:hAnsi="Arial" w:cs="Arial"/>
          <w:color w:val="000000"/>
          <w:lang w:eastAsia="en-GB"/>
        </w:rPr>
        <w:t xml:space="preserve">The application site is located within 'The Gardens'. Saved Policy CL17 states that development within 'The Gardens' area of East Clacton shall have </w:t>
      </w:r>
      <w:proofErr w:type="gramStart"/>
      <w:r w:rsidRPr="00321234">
        <w:rPr>
          <w:rFonts w:ascii="Arial" w:eastAsia="Calibri" w:hAnsi="Arial" w:cs="Arial"/>
          <w:color w:val="000000"/>
          <w:lang w:eastAsia="en-GB"/>
        </w:rPr>
        <w:t>particular regard</w:t>
      </w:r>
      <w:proofErr w:type="gramEnd"/>
      <w:r w:rsidRPr="00321234">
        <w:rPr>
          <w:rFonts w:ascii="Arial" w:eastAsia="Calibri" w:hAnsi="Arial" w:cs="Arial"/>
          <w:color w:val="000000"/>
          <w:lang w:eastAsia="en-GB"/>
        </w:rPr>
        <w:t xml:space="preserve"> to the special character and appearance of the area. These sentiments are also reflected within Policy PPL1</w:t>
      </w:r>
      <w:r w:rsidR="00157A53">
        <w:rPr>
          <w:rFonts w:ascii="Arial" w:eastAsia="Calibri" w:hAnsi="Arial" w:cs="Arial"/>
          <w:color w:val="000000"/>
          <w:lang w:eastAsia="en-GB"/>
        </w:rPr>
        <w:t>2</w:t>
      </w:r>
      <w:r w:rsidRPr="00321234">
        <w:rPr>
          <w:rFonts w:ascii="Arial" w:eastAsia="Calibri" w:hAnsi="Arial" w:cs="Arial"/>
          <w:color w:val="000000"/>
          <w:lang w:eastAsia="en-GB"/>
        </w:rPr>
        <w:t xml:space="preserve"> - Tendring District Local Plan 2013-2033 and Beyond Publication Draft (June 2017). </w:t>
      </w:r>
    </w:p>
    <w:p w14:paraId="1436A687" w14:textId="2EF70E04" w:rsidR="00157A53" w:rsidRDefault="00157A53" w:rsidP="0061019A">
      <w:pPr>
        <w:spacing w:after="142" w:line="360" w:lineRule="auto"/>
        <w:jc w:val="both"/>
        <w:rPr>
          <w:rFonts w:ascii="Arial" w:hAnsi="Arial" w:cs="Arial"/>
          <w:color w:val="333333"/>
          <w:shd w:val="clear" w:color="auto" w:fill="FFFFFF"/>
        </w:rPr>
      </w:pPr>
      <w:bookmarkStart w:id="2" w:name="_Hlk81906988"/>
      <w:r>
        <w:rPr>
          <w:rFonts w:ascii="Arial" w:eastAsia="Calibri" w:hAnsi="Arial" w:cs="Arial"/>
          <w:color w:val="000000"/>
          <w:lang w:eastAsia="en-GB"/>
        </w:rPr>
        <w:t>Planning permission has recently been granted for the u</w:t>
      </w:r>
      <w:r>
        <w:rPr>
          <w:rFonts w:ascii="Tahoma" w:hAnsi="Tahoma" w:cs="Tahoma"/>
          <w:color w:val="333333"/>
          <w:shd w:val="clear" w:color="auto" w:fill="FFFFFF"/>
        </w:rPr>
        <w:t xml:space="preserve">se of </w:t>
      </w:r>
      <w:r>
        <w:rPr>
          <w:rFonts w:ascii="Tahoma" w:hAnsi="Tahoma" w:cs="Tahoma"/>
          <w:color w:val="333333"/>
          <w:shd w:val="clear" w:color="auto" w:fill="FFFFFF"/>
        </w:rPr>
        <w:t xml:space="preserve">the previously mentioned </w:t>
      </w:r>
      <w:r>
        <w:rPr>
          <w:rFonts w:ascii="Tahoma" w:hAnsi="Tahoma" w:cs="Tahoma"/>
          <w:color w:val="333333"/>
          <w:shd w:val="clear" w:color="auto" w:fill="FFFFFF"/>
        </w:rPr>
        <w:t xml:space="preserve">existing </w:t>
      </w:r>
      <w:r>
        <w:rPr>
          <w:rFonts w:ascii="Tahoma" w:hAnsi="Tahoma" w:cs="Tahoma"/>
          <w:color w:val="333333"/>
          <w:shd w:val="clear" w:color="auto" w:fill="FFFFFF"/>
        </w:rPr>
        <w:t xml:space="preserve">former </w:t>
      </w:r>
      <w:r>
        <w:rPr>
          <w:rFonts w:ascii="Tahoma" w:hAnsi="Tahoma" w:cs="Tahoma"/>
          <w:color w:val="333333"/>
          <w:shd w:val="clear" w:color="auto" w:fill="FFFFFF"/>
        </w:rPr>
        <w:t xml:space="preserve">Coach House as a </w:t>
      </w:r>
      <w:proofErr w:type="gramStart"/>
      <w:r>
        <w:rPr>
          <w:rFonts w:ascii="Tahoma" w:hAnsi="Tahoma" w:cs="Tahoma"/>
          <w:color w:val="333333"/>
          <w:shd w:val="clear" w:color="auto" w:fill="FFFFFF"/>
        </w:rPr>
        <w:t>1 bedroom</w:t>
      </w:r>
      <w:proofErr w:type="gramEnd"/>
      <w:r>
        <w:rPr>
          <w:rFonts w:ascii="Tahoma" w:hAnsi="Tahoma" w:cs="Tahoma"/>
          <w:color w:val="333333"/>
          <w:shd w:val="clear" w:color="auto" w:fill="FFFFFF"/>
        </w:rPr>
        <w:t xml:space="preserve"> dwelling and the erection of a terrace of 3 no. dwelling houses, each with associated gardens and parking facilities (including alterations to </w:t>
      </w:r>
      <w:r w:rsidRPr="00157A53">
        <w:rPr>
          <w:rFonts w:ascii="Arial" w:hAnsi="Arial" w:cs="Arial"/>
          <w:color w:val="333333"/>
          <w:shd w:val="clear" w:color="auto" w:fill="FFFFFF"/>
        </w:rPr>
        <w:t>the layout and parking of/for the existing care home)</w:t>
      </w:r>
      <w:r w:rsidRPr="00157A53">
        <w:rPr>
          <w:rFonts w:ascii="Arial" w:hAnsi="Arial" w:cs="Arial"/>
          <w:color w:val="333333"/>
          <w:shd w:val="clear" w:color="auto" w:fill="FFFFFF"/>
        </w:rPr>
        <w:t xml:space="preserve"> under application reference </w:t>
      </w:r>
      <w:r w:rsidRPr="00157A53">
        <w:rPr>
          <w:rFonts w:ascii="Arial" w:hAnsi="Arial" w:cs="Arial"/>
          <w:color w:val="333333"/>
          <w:shd w:val="clear" w:color="auto" w:fill="FFFFFF"/>
        </w:rPr>
        <w:t>19/01266/FUL</w:t>
      </w:r>
      <w:r>
        <w:rPr>
          <w:rFonts w:ascii="Arial" w:hAnsi="Arial" w:cs="Arial"/>
          <w:color w:val="333333"/>
          <w:shd w:val="clear" w:color="auto" w:fill="FFFFFF"/>
        </w:rPr>
        <w:t>.</w:t>
      </w:r>
    </w:p>
    <w:bookmarkEnd w:id="2"/>
    <w:p w14:paraId="56E1797B" w14:textId="0762B6CC" w:rsidR="00157A53" w:rsidRDefault="00157A53" w:rsidP="0061019A">
      <w:pPr>
        <w:spacing w:after="142" w:line="360" w:lineRule="auto"/>
        <w:jc w:val="both"/>
        <w:rPr>
          <w:rFonts w:ascii="Arial" w:hAnsi="Arial" w:cs="Arial"/>
          <w:color w:val="333333"/>
          <w:shd w:val="clear" w:color="auto" w:fill="FFFFFF"/>
        </w:rPr>
      </w:pPr>
      <w:r>
        <w:rPr>
          <w:rFonts w:ascii="Arial" w:hAnsi="Arial" w:cs="Arial"/>
          <w:color w:val="333333"/>
          <w:shd w:val="clear" w:color="auto" w:fill="FFFFFF"/>
        </w:rPr>
        <w:t>As previously indicated, this application relates to the main building on the site, that which was formerly used as a Residential Care Home. The proposal is to convert this building into 5 residential flats</w:t>
      </w:r>
      <w:r w:rsidR="0065364D">
        <w:rPr>
          <w:rFonts w:ascii="Arial" w:hAnsi="Arial" w:cs="Arial"/>
          <w:color w:val="333333"/>
          <w:shd w:val="clear" w:color="auto" w:fill="FFFFFF"/>
        </w:rPr>
        <w:t xml:space="preserve">. Associated compliant parking facilities are to be provided together with an extensive communal private garden area for use by the occupants of the flats. </w:t>
      </w:r>
    </w:p>
    <w:p w14:paraId="710B5A11" w14:textId="24CB2F58" w:rsidR="0065364D" w:rsidRDefault="0065364D" w:rsidP="0061019A">
      <w:pPr>
        <w:spacing w:after="142" w:line="360" w:lineRule="auto"/>
        <w:jc w:val="both"/>
        <w:rPr>
          <w:rFonts w:ascii="Arial" w:hAnsi="Arial" w:cs="Arial"/>
          <w:color w:val="333333"/>
          <w:shd w:val="clear" w:color="auto" w:fill="FFFFFF"/>
        </w:rPr>
      </w:pPr>
      <w:bookmarkStart w:id="3" w:name="_Hlk81907239"/>
      <w:r>
        <w:rPr>
          <w:rFonts w:ascii="Arial" w:hAnsi="Arial" w:cs="Arial"/>
          <w:color w:val="333333"/>
          <w:shd w:val="clear" w:color="auto" w:fill="FFFFFF"/>
        </w:rPr>
        <w:t>A great deal of care has been taken in designing this conversion such that limited external alterations are required ensuring the integrity of the original/existing design and appearance of the property is maintained. Similarly, internal alterations have been kept to a minimum.</w:t>
      </w:r>
    </w:p>
    <w:p w14:paraId="4894BED6" w14:textId="61124F6D" w:rsidR="00644BE4" w:rsidRDefault="00644BE4" w:rsidP="00644BE4">
      <w:pPr>
        <w:spacing w:line="360" w:lineRule="auto"/>
        <w:jc w:val="both"/>
        <w:rPr>
          <w:rFonts w:ascii="Arial" w:hAnsi="Arial" w:cs="Arial"/>
        </w:rPr>
      </w:pPr>
      <w:r w:rsidRPr="00644BE4">
        <w:rPr>
          <w:rFonts w:ascii="Arial" w:hAnsi="Arial" w:cs="Arial"/>
        </w:rPr>
        <w:t>It is contended that the submitted details of the proposed development demonstrate that the scheme satisfies amenity,</w:t>
      </w:r>
      <w:r w:rsidR="0065364D" w:rsidRPr="0065364D">
        <w:rPr>
          <w:rFonts w:ascii="Arial" w:eastAsia="Calibri" w:hAnsi="Arial" w:cs="Arial"/>
          <w:color w:val="000000"/>
          <w:lang w:eastAsia="en-GB"/>
        </w:rPr>
        <w:t xml:space="preserve"> </w:t>
      </w:r>
      <w:r w:rsidR="0065364D" w:rsidRPr="00321234">
        <w:rPr>
          <w:rFonts w:ascii="Arial" w:eastAsia="Calibri" w:hAnsi="Arial" w:cs="Arial"/>
          <w:color w:val="000000"/>
          <w:lang w:eastAsia="en-GB"/>
        </w:rPr>
        <w:t xml:space="preserve">design, density, environmental, highway, local housing needs and sustainability criteria, as appropriate, and can take place without material harm to the character of the local area. </w:t>
      </w:r>
      <w:r w:rsidRPr="00644BE4">
        <w:rPr>
          <w:rFonts w:ascii="Arial" w:hAnsi="Arial" w:cs="Arial"/>
        </w:rPr>
        <w:t xml:space="preserve"> </w:t>
      </w:r>
    </w:p>
    <w:bookmarkEnd w:id="3"/>
    <w:p w14:paraId="060F8363" w14:textId="77777777" w:rsidR="0065364D" w:rsidRPr="00644BE4" w:rsidRDefault="0065364D" w:rsidP="0065364D">
      <w:pPr>
        <w:spacing w:line="360" w:lineRule="auto"/>
        <w:jc w:val="both"/>
        <w:rPr>
          <w:rFonts w:ascii="Arial" w:hAnsi="Arial" w:cs="Arial"/>
        </w:rPr>
      </w:pPr>
      <w:r w:rsidRPr="00644BE4">
        <w:rPr>
          <w:rFonts w:ascii="Arial" w:hAnsi="Arial" w:cs="Arial"/>
        </w:rPr>
        <w:t xml:space="preserve">The application site is well connected to services that are available within the town which has many opportunities for employment and has good railway links and a good bus service. </w:t>
      </w:r>
    </w:p>
    <w:p w14:paraId="2423DD90" w14:textId="5E6E53F9" w:rsidR="00644BE4" w:rsidRDefault="00644BE4" w:rsidP="00644BE4">
      <w:pPr>
        <w:spacing w:line="360" w:lineRule="auto"/>
        <w:jc w:val="both"/>
        <w:rPr>
          <w:rFonts w:ascii="Arial" w:hAnsi="Arial" w:cs="Arial"/>
          <w:color w:val="333333"/>
          <w:shd w:val="clear" w:color="auto" w:fill="FFFFFF"/>
        </w:rPr>
      </w:pPr>
      <w:r w:rsidRPr="00644BE4">
        <w:rPr>
          <w:rFonts w:ascii="Arial" w:hAnsi="Arial" w:cs="Arial"/>
          <w:color w:val="333333"/>
          <w:shd w:val="clear" w:color="auto" w:fill="FFFFFF"/>
        </w:rPr>
        <w:t>It is therefore hoped that the Council will grant permission for the development applied for.</w:t>
      </w:r>
    </w:p>
    <w:bookmarkEnd w:id="0"/>
    <w:p w14:paraId="4CA7C6C5" w14:textId="4A13D40B" w:rsidR="007F4817" w:rsidRDefault="007F4817" w:rsidP="00730C3C">
      <w:pPr>
        <w:spacing w:line="360" w:lineRule="auto"/>
        <w:jc w:val="both"/>
      </w:pPr>
    </w:p>
    <w:sectPr w:rsidR="007F4817" w:rsidSect="000A4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40E4F"/>
    <w:multiLevelType w:val="multilevel"/>
    <w:tmpl w:val="0F908E1C"/>
    <w:lvl w:ilvl="0">
      <w:start w:val="1"/>
      <w:numFmt w:val="decimal"/>
      <w:lvlText w:val="%1.0"/>
      <w:lvlJc w:val="left"/>
      <w:pPr>
        <w:ind w:left="2840" w:hanging="720"/>
      </w:pPr>
      <w:rPr>
        <w:rFonts w:hint="default"/>
      </w:rPr>
    </w:lvl>
    <w:lvl w:ilvl="1">
      <w:start w:val="1"/>
      <w:numFmt w:val="decimal"/>
      <w:lvlText w:val="%1.%2"/>
      <w:lvlJc w:val="left"/>
      <w:pPr>
        <w:ind w:left="3560" w:hanging="720"/>
      </w:pPr>
      <w:rPr>
        <w:rFonts w:hint="default"/>
      </w:rPr>
    </w:lvl>
    <w:lvl w:ilvl="2">
      <w:start w:val="1"/>
      <w:numFmt w:val="decimal"/>
      <w:lvlText w:val="%1.%2.%3"/>
      <w:lvlJc w:val="left"/>
      <w:pPr>
        <w:ind w:left="4280" w:hanging="720"/>
      </w:pPr>
      <w:rPr>
        <w:rFonts w:hint="default"/>
      </w:rPr>
    </w:lvl>
    <w:lvl w:ilvl="3">
      <w:start w:val="1"/>
      <w:numFmt w:val="decimal"/>
      <w:lvlText w:val="%1.%2.%3.%4"/>
      <w:lvlJc w:val="left"/>
      <w:pPr>
        <w:ind w:left="536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7880" w:hanging="1440"/>
      </w:pPr>
      <w:rPr>
        <w:rFonts w:hint="default"/>
      </w:rPr>
    </w:lvl>
    <w:lvl w:ilvl="7">
      <w:start w:val="1"/>
      <w:numFmt w:val="decimal"/>
      <w:lvlText w:val="%1.%2.%3.%4.%5.%6.%7.%8"/>
      <w:lvlJc w:val="left"/>
      <w:pPr>
        <w:ind w:left="8960" w:hanging="1800"/>
      </w:pPr>
      <w:rPr>
        <w:rFonts w:hint="default"/>
      </w:rPr>
    </w:lvl>
    <w:lvl w:ilvl="8">
      <w:start w:val="1"/>
      <w:numFmt w:val="decimal"/>
      <w:lvlText w:val="%1.%2.%3.%4.%5.%6.%7.%8.%9"/>
      <w:lvlJc w:val="left"/>
      <w:pPr>
        <w:ind w:left="9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A"/>
    <w:rsid w:val="00091932"/>
    <w:rsid w:val="000A0AAB"/>
    <w:rsid w:val="000A4691"/>
    <w:rsid w:val="000A5418"/>
    <w:rsid w:val="00157A53"/>
    <w:rsid w:val="001B0CE4"/>
    <w:rsid w:val="00246C1A"/>
    <w:rsid w:val="00321234"/>
    <w:rsid w:val="003C64B3"/>
    <w:rsid w:val="003E0961"/>
    <w:rsid w:val="004D639B"/>
    <w:rsid w:val="004E6314"/>
    <w:rsid w:val="004F5958"/>
    <w:rsid w:val="005822FA"/>
    <w:rsid w:val="0061019A"/>
    <w:rsid w:val="00644BE4"/>
    <w:rsid w:val="0065364D"/>
    <w:rsid w:val="006576F0"/>
    <w:rsid w:val="006F1569"/>
    <w:rsid w:val="00730C3C"/>
    <w:rsid w:val="0073675A"/>
    <w:rsid w:val="007C6DB9"/>
    <w:rsid w:val="007F4817"/>
    <w:rsid w:val="008C6B5D"/>
    <w:rsid w:val="0097360B"/>
    <w:rsid w:val="00A737A2"/>
    <w:rsid w:val="00AB2265"/>
    <w:rsid w:val="00AC54FE"/>
    <w:rsid w:val="00BA3AEA"/>
    <w:rsid w:val="00CA38CF"/>
    <w:rsid w:val="00D40624"/>
    <w:rsid w:val="00DE6424"/>
    <w:rsid w:val="00E96E3F"/>
    <w:rsid w:val="00F007F9"/>
    <w:rsid w:val="00F8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46C8"/>
  <w15:chartTrackingRefBased/>
  <w15:docId w15:val="{54550E8B-2172-4898-8136-D0509DD7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5</cp:revision>
  <dcterms:created xsi:type="dcterms:W3CDTF">2021-08-26T08:06:00Z</dcterms:created>
  <dcterms:modified xsi:type="dcterms:W3CDTF">2021-09-07T12:05:00Z</dcterms:modified>
</cp:coreProperties>
</file>