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1485" w:right="-1399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keepNext w:val="true"/>
        <w:widowControl/>
        <w:numPr>
          <w:ilvl w:val="0"/>
          <w:numId w:val="1"/>
        </w:numPr>
        <w:suppressAutoHyphens w:val="true"/>
        <w:bidi w:val="0"/>
        <w:spacing w:lineRule="auto" w:line="360" w:before="240" w:after="120"/>
        <w:ind w:left="-850" w:right="0" w:hanging="164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ROPOSED REPLACEMENT WINDOWS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240" w:after="120"/>
        <w:ind w:left="-850" w:right="0" w:hanging="164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32"/>
          <w:szCs w:val="32"/>
        </w:rPr>
        <w:t>PARK HOUSE, BOWER LANE, EYNSFORD, DA4 0HN</w:t>
      </w:r>
    </w:p>
    <w:p>
      <w:pPr>
        <w:pStyle w:val="Heading5"/>
        <w:widowControl/>
        <w:suppressAutoHyphens w:val="true"/>
        <w:bidi w:val="0"/>
        <w:spacing w:lineRule="auto" w:line="360" w:before="240" w:after="120"/>
        <w:ind w:left="-850" w:right="0" w:hanging="1644"/>
        <w:jc w:val="center"/>
        <w:rPr/>
      </w:pPr>
      <w:r>
        <w:rPr>
          <w:b w:val="false"/>
          <w:bCs w:val="false"/>
          <w:i w:val="false"/>
          <w:iCs w:val="false"/>
          <w:sz w:val="32"/>
          <w:szCs w:val="32"/>
          <w:u w:val="none"/>
        </w:rPr>
        <w:t xml:space="preserve">                 </w:t>
      </w:r>
      <w:r>
        <w:rPr>
          <w:b/>
          <w:bCs/>
          <w:i w:val="false"/>
          <w:iCs w:val="false"/>
          <w:sz w:val="32"/>
          <w:szCs w:val="32"/>
          <w:u w:val="none"/>
        </w:rPr>
        <w:t>LISTED BUILDING APPLICATION REF. 21/</w:t>
      </w:r>
      <w:r>
        <w:rPr>
          <w:b/>
          <w:bCs/>
          <w:i w:val="false"/>
          <w:iCs w:val="false"/>
          <w:sz w:val="32"/>
          <w:szCs w:val="32"/>
          <w:u w:val="none"/>
        </w:rPr>
        <w:t>02914/</w:t>
      </w:r>
      <w:r>
        <w:rPr>
          <w:b/>
          <w:bCs/>
          <w:i w:val="false"/>
          <w:iCs w:val="false"/>
          <w:sz w:val="32"/>
          <w:szCs w:val="32"/>
          <w:u w:val="none"/>
        </w:rPr>
        <w:t>LBCALT</w:t>
      </w:r>
    </w:p>
    <w:p>
      <w:pPr>
        <w:pStyle w:val="Normal"/>
        <w:bidi w:val="0"/>
        <w:ind w:left="-1485" w:right="-1399" w:hanging="0"/>
        <w:jc w:val="center"/>
        <w:rPr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bidi w:val="0"/>
        <w:ind w:left="-1485" w:right="-1399" w:hanging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DESIGN AND ACCESS STATEMENT</w:t>
      </w:r>
    </w:p>
    <w:p>
      <w:pPr>
        <w:pStyle w:val="Normal"/>
        <w:bidi w:val="0"/>
        <w:ind w:left="-1485" w:right="-1399" w:hanging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Heading1"/>
        <w:keepNext w:val="true"/>
        <w:widowControl/>
        <w:numPr>
          <w:ilvl w:val="0"/>
          <w:numId w:val="1"/>
        </w:numPr>
        <w:suppressAutoHyphens w:val="true"/>
        <w:bidi w:val="0"/>
        <w:spacing w:before="240" w:after="120"/>
        <w:ind w:left="-1474" w:right="-1417" w:firstLine="737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>
      <w:pPr>
        <w:pStyle w:val="Normal"/>
        <w:bidi w:val="0"/>
        <w:ind w:left="-1485" w:right="-1399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BlockText"/>
        <w:widowControl/>
        <w:suppressAutoHyphens w:val="true"/>
        <w:bidi w:val="0"/>
        <w:spacing w:lineRule="auto" w:line="360" w:before="0" w:after="0"/>
        <w:ind w:left="-794" w:right="-1077" w:hanging="0"/>
        <w:jc w:val="both"/>
        <w:rPr/>
      </w:pPr>
      <w:r>
        <w:rPr/>
        <w:t>This Statement follows the guidance in Circular 01/2006, and also the CABE booklet “Design and Access Statements – How to write, read and use them”.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794" w:right="-1077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794" w:right="-1077" w:hanging="0"/>
        <w:jc w:val="both"/>
        <w:rPr/>
      </w:pPr>
      <w:r>
        <w:rPr/>
        <w:t>It is based upon the recommended “assessment-involvement-evaluation-design” process, and explains and justifies the proposals as set out in the planning application itself.</w:t>
      </w:r>
    </w:p>
    <w:p>
      <w:pPr>
        <w:pStyle w:val="Normal"/>
        <w:bidi w:val="0"/>
        <w:spacing w:lineRule="auto" w:line="360"/>
        <w:ind w:left="-1486" w:right="-1069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170"/>
        <w:jc w:val="both"/>
        <w:rPr/>
      </w:pPr>
      <w:r>
        <w:rPr>
          <w:b/>
          <w:bCs/>
        </w:rPr>
        <w:t>ASSESSMENT</w:t>
      </w:r>
    </w:p>
    <w:p>
      <w:pPr>
        <w:pStyle w:val="Normal"/>
        <w:bidi w:val="0"/>
        <w:spacing w:lineRule="auto" w:line="360"/>
        <w:ind w:left="-1486" w:right="-10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>
          <w:u w:val="single"/>
        </w:rPr>
        <w:t>Physical:</w:t>
      </w:r>
      <w:r>
        <w:rPr/>
        <w:t xml:space="preserve"> </w:t>
      </w:r>
      <w:r>
        <w:rPr/>
        <w:t>Detached, 2-storey dwelling-house, a Grade II Listed Building.</w:t>
      </w:r>
    </w:p>
    <w:p>
      <w:pPr>
        <w:pStyle w:val="Normal"/>
        <w:bidi w:val="0"/>
        <w:spacing w:lineRule="auto" w:line="360"/>
        <w:ind w:left="0" w:right="-1069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>
          <w:u w:val="single"/>
        </w:rPr>
        <w:t>Social</w:t>
      </w:r>
      <w:r>
        <w:rPr/>
        <w:t xml:space="preserve">: </w:t>
      </w:r>
      <w:r>
        <w:rPr/>
        <w:t>Residential property within own curtilage, no other social implications.</w:t>
      </w:r>
    </w:p>
    <w:p>
      <w:pPr>
        <w:pStyle w:val="Normal"/>
        <w:bidi w:val="0"/>
        <w:spacing w:lineRule="auto" w:line="360"/>
        <w:ind w:left="0" w:right="-1069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>
          <w:u w:val="single"/>
        </w:rPr>
        <w:t>Economic:</w:t>
      </w:r>
      <w:r>
        <w:rPr/>
        <w:t xml:space="preserve"> little or no long-term impact; local employment during construction works in the short-term.</w:t>
      </w:r>
    </w:p>
    <w:p>
      <w:pPr>
        <w:pStyle w:val="Normal"/>
        <w:bidi w:val="0"/>
        <w:spacing w:lineRule="auto" w:line="360"/>
        <w:ind w:left="-1486" w:right="-1069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>
          <w:u w:val="single"/>
        </w:rPr>
        <w:t>Planning Policy</w:t>
      </w:r>
      <w:r>
        <w:rPr/>
        <w:t>: see separate Heritage Statement.</w:t>
      </w:r>
    </w:p>
    <w:p>
      <w:pPr>
        <w:pStyle w:val="Normal"/>
        <w:bidi w:val="0"/>
        <w:spacing w:lineRule="auto" w:line="360"/>
        <w:ind w:left="-1486" w:right="-1069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990" w:leader="none"/>
        </w:tabs>
        <w:suppressAutoHyphens w:val="true"/>
        <w:bidi w:val="0"/>
        <w:spacing w:lineRule="auto" w:line="360" w:before="0" w:after="0"/>
        <w:ind w:left="-850" w:right="-1077" w:firstLine="170"/>
        <w:jc w:val="both"/>
        <w:rPr/>
      </w:pPr>
      <w:r>
        <w:rPr>
          <w:rFonts w:eastAsia="Arial"/>
          <w:b/>
          <w:bCs/>
        </w:rPr>
        <w:t xml:space="preserve">   </w:t>
      </w:r>
      <w:r>
        <w:rPr>
          <w:b/>
          <w:bCs/>
        </w:rPr>
        <w:t>INVOLVEMENT</w:t>
      </w:r>
    </w:p>
    <w:p>
      <w:pPr>
        <w:pStyle w:val="Normal"/>
        <w:bidi w:val="0"/>
        <w:spacing w:lineRule="auto" w:line="360"/>
        <w:ind w:left="-1486" w:right="-10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>Pre-Application correspondence in June 2021, including comments of Council's Conservation Officer - see details in separate Heritage Statement.</w:t>
      </w:r>
    </w:p>
    <w:p>
      <w:pPr>
        <w:pStyle w:val="Normal"/>
        <w:bidi w:val="0"/>
        <w:spacing w:lineRule="auto" w:line="360"/>
        <w:ind w:right="-1069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37" w:right="-1069" w:hanging="0"/>
        <w:jc w:val="right"/>
        <w:rPr>
          <w:b/>
          <w:b/>
          <w:bCs/>
        </w:rPr>
      </w:pPr>
      <w:r>
        <w:rPr>
          <w:b/>
          <w:bCs/>
        </w:rPr>
        <w:t>1.</w:t>
      </w:r>
    </w:p>
    <w:p>
      <w:pPr>
        <w:pStyle w:val="Normal"/>
        <w:bidi w:val="0"/>
        <w:spacing w:lineRule="auto" w:line="360"/>
        <w:ind w:left="0" w:right="-1069" w:hanging="0"/>
        <w:jc w:val="right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170"/>
        <w:jc w:val="both"/>
        <w:rPr/>
      </w:pPr>
      <w:r>
        <w:rPr>
          <w:b/>
          <w:bCs/>
        </w:rPr>
        <w:t>EVALUATION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171" w:right="-107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850" w:right="-1077" w:hanging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3.1   Minor external works only, required to replace existing inefficient windows with more  sustainable windows, with minimal impact upon external appearance and thus no over-riding adverse impact upon character and appearance of the heritage asset.</w:t>
      </w:r>
    </w:p>
    <w:p>
      <w:pPr>
        <w:pStyle w:val="Normal"/>
        <w:bidi w:val="0"/>
        <w:spacing w:lineRule="auto" w:line="360"/>
        <w:ind w:left="-1485" w:right="-10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ind w:left="0" w:right="-1069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57"/>
        <w:jc w:val="left"/>
        <w:rPr/>
      </w:pPr>
      <w:r>
        <w:rPr>
          <w:b/>
          <w:bCs/>
        </w:rPr>
        <w:t>DESIGN</w:t>
      </w:r>
    </w:p>
    <w:p>
      <w:pPr>
        <w:pStyle w:val="Normal"/>
        <w:bidi w:val="0"/>
        <w:spacing w:lineRule="auto" w:line="360"/>
        <w:ind w:left="-1485" w:right="-1069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left"/>
        <w:rPr/>
      </w:pPr>
      <w:r>
        <w:rPr/>
        <w:t>Replacement windows designed in accordance with the Co</w:t>
      </w:r>
      <w:r>
        <w:rPr/>
        <w:t>u</w:t>
      </w:r>
      <w:r>
        <w:rPr/>
        <w:t>ncil's Conservati</w:t>
      </w:r>
      <w:r>
        <w:rPr/>
        <w:t>o</w:t>
      </w:r>
      <w:r>
        <w:rPr/>
        <w:t xml:space="preserve">n Officer </w:t>
      </w:r>
      <w:r>
        <w:rPr/>
        <w:t xml:space="preserve">'s </w:t>
      </w:r>
      <w:r>
        <w:rPr/>
        <w:t>recommendati</w:t>
      </w:r>
      <w:r>
        <w:rPr/>
        <w:t>o</w:t>
      </w:r>
      <w:r>
        <w:rPr/>
        <w:t>ns.</w:t>
      </w:r>
      <w:r>
        <w:rPr/>
        <w:t xml:space="preserve"> </w:t>
      </w:r>
    </w:p>
    <w:p>
      <w:pPr>
        <w:pStyle w:val="Normal"/>
        <w:bidi w:val="0"/>
        <w:spacing w:lineRule="auto" w:line="360"/>
        <w:ind w:left="0" w:right="-1069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486" w:right="-1069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57"/>
        <w:jc w:val="left"/>
        <w:rPr/>
      </w:pPr>
      <w:r>
        <w:rPr>
          <w:b/>
          <w:bCs/>
        </w:rPr>
        <w:t>USE/AMOUNT</w:t>
      </w:r>
    </w:p>
    <w:p>
      <w:pPr>
        <w:pStyle w:val="Normal"/>
        <w:widowControl/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5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737" w:right="-1077" w:hanging="1474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</w:t>
      </w:r>
      <w:r>
        <w:rPr>
          <w:b w:val="false"/>
          <w:bCs w:val="false"/>
        </w:rPr>
        <w:t>5.1    Dwelling-house to remain in residential  use; replacement windows only on a like-   for-like basis, so no extra additions or any other material alterations/changes.</w:t>
      </w:r>
    </w:p>
    <w:p>
      <w:pPr>
        <w:pStyle w:val="Normal"/>
        <w:bidi w:val="0"/>
        <w:spacing w:lineRule="auto" w:line="360"/>
        <w:ind w:left="-1485" w:right="-1069" w:hanging="0"/>
        <w:jc w:val="left"/>
        <w:rPr>
          <w:b/>
          <w:b/>
          <w:bCs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57"/>
        <w:jc w:val="left"/>
        <w:rPr/>
      </w:pPr>
      <w:r>
        <w:rPr>
          <w:b/>
          <w:bCs/>
        </w:rPr>
        <w:t>LAYOUT</w:t>
      </w:r>
    </w:p>
    <w:p>
      <w:pPr>
        <w:pStyle w:val="Normal"/>
        <w:bidi w:val="0"/>
        <w:spacing w:lineRule="auto" w:line="360"/>
        <w:ind w:left="-1485" w:right="-1069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>As existing - no changes to internal layout or site</w:t>
      </w:r>
    </w:p>
    <w:p>
      <w:pPr>
        <w:pStyle w:val="Normal"/>
        <w:bidi w:val="0"/>
        <w:spacing w:lineRule="auto" w:line="360"/>
        <w:ind w:left="0" w:right="-1069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57"/>
        <w:jc w:val="both"/>
        <w:rPr/>
      </w:pPr>
      <w:r>
        <w:rPr>
          <w:b/>
          <w:bCs/>
        </w:rPr>
        <w:t>SCALE</w:t>
      </w:r>
    </w:p>
    <w:p>
      <w:pPr>
        <w:pStyle w:val="Normal"/>
        <w:bidi w:val="0"/>
        <w:spacing w:lineRule="auto" w:line="360"/>
        <w:ind w:left="-1485" w:right="-10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>Domestic-scale  alterations only, with no changes to visual appearance of existing external alterations.</w:t>
      </w:r>
    </w:p>
    <w:p>
      <w:pPr>
        <w:pStyle w:val="Normal"/>
        <w:bidi w:val="0"/>
        <w:spacing w:lineRule="auto" w:line="360"/>
        <w:ind w:left="0" w:right="-1069" w:hanging="0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-825" w:right="-1069" w:hanging="660"/>
        <w:jc w:val="both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57"/>
        <w:jc w:val="both"/>
        <w:rPr/>
      </w:pPr>
      <w:r>
        <w:rPr>
          <w:b/>
          <w:bCs/>
        </w:rPr>
        <w:t>LANDSCAPING</w:t>
      </w:r>
    </w:p>
    <w:p>
      <w:pPr>
        <w:pStyle w:val="Normal"/>
        <w:bidi w:val="0"/>
        <w:spacing w:lineRule="auto" w:line="360"/>
        <w:ind w:left="-1485" w:right="-10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 xml:space="preserve">No landscaping proposals involved, as the application is for the replacement of  existing </w:t>
      </w:r>
      <w:r>
        <w:rPr/>
        <w:t>features</w:t>
      </w:r>
      <w:r>
        <w:rPr/>
        <w:t xml:space="preserve"> only. </w:t>
      </w:r>
    </w:p>
    <w:p>
      <w:pPr>
        <w:pStyle w:val="Normal"/>
        <w:bidi w:val="0"/>
        <w:spacing w:lineRule="auto" w:line="360"/>
        <w:ind w:left="0" w:right="-1069" w:hanging="0"/>
        <w:jc w:val="right"/>
        <w:rPr>
          <w:b/>
          <w:b/>
          <w:bCs/>
        </w:rPr>
      </w:pPr>
      <w:r>
        <w:rPr>
          <w:b/>
          <w:bCs/>
        </w:rPr>
        <w:t>2.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firstLine="57"/>
        <w:jc w:val="both"/>
        <w:rPr/>
      </w:pPr>
      <w:r>
        <w:rPr>
          <w:b/>
          <w:bCs/>
        </w:rPr>
        <w:t>APPEARANCE</w:t>
      </w:r>
    </w:p>
    <w:p>
      <w:pPr>
        <w:pStyle w:val="Normal"/>
        <w:bidi w:val="0"/>
        <w:spacing w:lineRule="auto" w:line="360"/>
        <w:ind w:left="-1485" w:right="-10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>Integrity of existing heritage asset will remain in tact, due to replacement slim-line windows being of same visual appearance, dimensions and scale as those existing.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37" w:right="-1069" w:hanging="0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0" w:right="-1069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-850" w:right="-1077" w:hanging="57"/>
        <w:jc w:val="both"/>
        <w:rPr/>
      </w:pPr>
      <w:r>
        <w:rPr>
          <w:b/>
          <w:bCs/>
        </w:rPr>
        <w:t>ACCESS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825" w:leader="none"/>
        </w:tabs>
        <w:suppressAutoHyphens w:val="true"/>
        <w:bidi w:val="0"/>
        <w:spacing w:lineRule="auto" w:line="360" w:before="0" w:after="0"/>
        <w:ind w:left="114" w:right="-1077" w:hanging="0"/>
        <w:jc w:val="both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65" w:right="-1069" w:hanging="720"/>
        <w:jc w:val="both"/>
        <w:rPr/>
      </w:pPr>
      <w:r>
        <w:rPr>
          <w:u w:val="single"/>
        </w:rPr>
        <w:t>Vehicular and Transport Links</w:t>
      </w:r>
      <w:r>
        <w:rPr/>
        <w:t>:</w:t>
      </w:r>
      <w:r>
        <w:rPr>
          <w:b/>
          <w:bCs/>
        </w:rPr>
        <w:t xml:space="preserve">   </w:t>
      </w:r>
      <w:r>
        <w:rPr>
          <w:b w:val="false"/>
          <w:bCs w:val="false"/>
        </w:rPr>
        <w:t>no changes involved.</w:t>
      </w:r>
    </w:p>
    <w:p>
      <w:pPr>
        <w:pStyle w:val="Normal"/>
        <w:bidi w:val="0"/>
        <w:spacing w:lineRule="auto" w:line="360"/>
        <w:ind w:left="-1485" w:right="-1069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765" w:right="-1069" w:hanging="720"/>
        <w:jc w:val="both"/>
        <w:rPr/>
      </w:pPr>
      <w:r>
        <w:rPr>
          <w:u w:val="single"/>
        </w:rPr>
        <w:t>Inclusive Access</w:t>
      </w:r>
      <w:r>
        <w:rPr/>
        <w:t xml:space="preserve">: </w:t>
      </w:r>
      <w:r>
        <w:rPr/>
        <w:t>no changes involved.</w:t>
      </w:r>
    </w:p>
    <w:p>
      <w:pPr>
        <w:pStyle w:val="Normal"/>
        <w:bidi w:val="0"/>
        <w:spacing w:lineRule="auto" w:line="360"/>
        <w:ind w:left="0" w:right="-1069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360"/>
        <w:ind w:left="-1485" w:right="-1069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360"/>
        <w:ind w:left="-1485" w:right="-1069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1020" w:right="-1077" w:hanging="1871"/>
        <w:jc w:val="both"/>
        <w:rPr/>
      </w:pPr>
      <w:r>
        <w:rPr>
          <w:rFonts w:eastAsia="Arial"/>
          <w:b/>
          <w:bCs/>
        </w:rPr>
        <w:t xml:space="preserve">    </w:t>
      </w:r>
      <w:r>
        <w:rPr>
          <w:b/>
          <w:bCs/>
        </w:rPr>
        <w:t>CONCLUSIONS</w:t>
      </w:r>
    </w:p>
    <w:p>
      <w:pPr>
        <w:pStyle w:val="Normal"/>
        <w:bidi w:val="0"/>
        <w:spacing w:lineRule="auto" w:line="360"/>
        <w:ind w:left="-1486" w:right="-106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>Small-scale, domestic alterations only with no material impacts upon design, appearance and setting of the existing dwelling-house, nor the heritage asset.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37" w:right="-1069" w:hanging="0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>The proposals are thus consistent with national planning policy, local planning policy and the local Kent Deign Guide.</w:t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bidi w:val="0"/>
        <w:spacing w:lineRule="auto" w:line="360"/>
        <w:ind w:left="841" w:right="-1069" w:hanging="645"/>
        <w:jc w:val="both"/>
        <w:rPr/>
      </w:pPr>
      <w:r>
        <w:rPr/>
        <w:t>In such circumstances, the presumption in favour of the proposals as set out in the NPPF applies (see separate Heritage Statement for details).</w:t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841" w:right="-1069" w:hanging="645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196" w:right="-1069" w:hanging="0"/>
        <w:jc w:val="both"/>
        <w:rPr>
          <w:b/>
          <w:b/>
          <w:bCs/>
        </w:rPr>
      </w:pPr>
      <w:r>
        <w:rPr/>
      </w:r>
    </w:p>
    <w:p>
      <w:pPr>
        <w:pStyle w:val="Normal"/>
        <w:bidi w:val="0"/>
        <w:spacing w:lineRule="auto" w:line="360"/>
        <w:ind w:left="196" w:right="-1069" w:hanging="0"/>
        <w:jc w:val="right"/>
        <w:rPr>
          <w:b/>
          <w:b/>
          <w:bCs/>
        </w:rPr>
      </w:pPr>
      <w:r>
        <w:rPr>
          <w:b/>
          <w:bCs/>
        </w:rPr>
        <w:t>3.</w:t>
      </w:r>
    </w:p>
    <w:sectPr>
      <w:type w:val="nextPage"/>
      <w:pgSz w:w="11906" w:h="16838"/>
      <w:pgMar w:left="1620" w:right="1781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(%1)"/>
      <w:lvlJc w:val="left"/>
      <w:pPr>
        <w:tabs>
          <w:tab w:val="num" w:pos="0"/>
        </w:tabs>
        <w:ind w:left="765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21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1" w:hanging="64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5">
    <w:name w:val="Heading 5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WW8Num6z1">
    <w:name w:val="WW8Num6z1"/>
    <w:qFormat/>
    <w:rPr>
      <w:b/>
      <w:bCs/>
      <w:sz w:val="24"/>
      <w:u w:val="none"/>
    </w:rPr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b w:val="false"/>
      <w:sz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BlockText">
    <w:name w:val="Block Text"/>
    <w:basedOn w:val="Normal"/>
    <w:qFormat/>
    <w:pPr>
      <w:spacing w:lineRule="auto" w:line="360"/>
      <w:ind w:left="-1486" w:right="-140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LibreOffice/7.2.0.4$Windows_X86_64 LibreOffice_project/9a9c6381e3f7a62afc1329bd359cc48accb6435b</Application>
  <AppVersion>15.0000</AppVersion>
  <Pages>3</Pages>
  <Words>371</Words>
  <Characters>2232</Characters>
  <CharactersWithSpaces>2642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2021-09-20T11:16:05Z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