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FB36" w14:textId="77777777" w:rsidR="00C31E33" w:rsidRPr="00402FE3" w:rsidRDefault="00C31E33" w:rsidP="005F0BC2">
      <w:pPr>
        <w:spacing w:line="240" w:lineRule="auto"/>
        <w:contextualSpacing/>
        <w:rPr>
          <w:sz w:val="24"/>
          <w:szCs w:val="24"/>
        </w:rPr>
      </w:pPr>
      <w:r w:rsidRPr="00402FE3">
        <w:rPr>
          <w:sz w:val="24"/>
          <w:szCs w:val="24"/>
        </w:rPr>
        <w:t>Development Management Team</w:t>
      </w:r>
    </w:p>
    <w:p w14:paraId="374CC721" w14:textId="23BC21D1" w:rsidR="00C31E33" w:rsidRPr="00402FE3" w:rsidRDefault="005F0BC2" w:rsidP="005F0BC2">
      <w:pPr>
        <w:spacing w:line="240" w:lineRule="auto"/>
        <w:contextualSpacing/>
        <w:rPr>
          <w:sz w:val="24"/>
          <w:szCs w:val="24"/>
        </w:rPr>
      </w:pPr>
      <w:r w:rsidRPr="00402FE3">
        <w:rPr>
          <w:sz w:val="24"/>
          <w:szCs w:val="24"/>
        </w:rPr>
        <w:t>Town Hall,</w:t>
      </w:r>
      <w:r w:rsidRPr="00402FE3">
        <w:rPr>
          <w:sz w:val="24"/>
          <w:szCs w:val="24"/>
        </w:rPr>
        <w:br/>
        <w:t xml:space="preserve">Walter </w:t>
      </w:r>
      <w:proofErr w:type="spellStart"/>
      <w:r w:rsidRPr="00402FE3">
        <w:rPr>
          <w:sz w:val="24"/>
          <w:szCs w:val="24"/>
        </w:rPr>
        <w:t>Stranz</w:t>
      </w:r>
      <w:proofErr w:type="spellEnd"/>
      <w:r w:rsidRPr="00402FE3">
        <w:rPr>
          <w:sz w:val="24"/>
          <w:szCs w:val="24"/>
        </w:rPr>
        <w:t xml:space="preserve"> Square,</w:t>
      </w:r>
      <w:r w:rsidRPr="00402FE3">
        <w:rPr>
          <w:sz w:val="24"/>
          <w:szCs w:val="24"/>
        </w:rPr>
        <w:br/>
        <w:t>Redditch</w:t>
      </w:r>
      <w:r w:rsidRPr="00402FE3">
        <w:rPr>
          <w:sz w:val="24"/>
          <w:szCs w:val="24"/>
        </w:rPr>
        <w:br/>
        <w:t>B98 8AH</w:t>
      </w:r>
    </w:p>
    <w:p w14:paraId="036A0BB2" w14:textId="164F6B0E" w:rsidR="005F0BC2" w:rsidRPr="00402FE3" w:rsidRDefault="005F0BC2" w:rsidP="005F0BC2">
      <w:pPr>
        <w:spacing w:line="240" w:lineRule="auto"/>
        <w:contextualSpacing/>
        <w:rPr>
          <w:sz w:val="24"/>
          <w:szCs w:val="24"/>
        </w:rPr>
      </w:pPr>
    </w:p>
    <w:p w14:paraId="7FCAC52F" w14:textId="076DA49A" w:rsidR="005F0BC2" w:rsidRPr="00402FE3" w:rsidRDefault="00903045" w:rsidP="005F0BC2">
      <w:pPr>
        <w:spacing w:line="240" w:lineRule="auto"/>
        <w:contextualSpacing/>
        <w:rPr>
          <w:sz w:val="24"/>
          <w:szCs w:val="24"/>
        </w:rPr>
      </w:pPr>
      <w:r w:rsidRPr="00402FE3">
        <w:rPr>
          <w:sz w:val="24"/>
          <w:szCs w:val="24"/>
        </w:rPr>
        <w:t>17 December 2021</w:t>
      </w:r>
    </w:p>
    <w:p w14:paraId="4F2798C3" w14:textId="3D1C4895" w:rsidR="005F0BC2" w:rsidRPr="00402FE3" w:rsidRDefault="005F0BC2" w:rsidP="005F0BC2">
      <w:pPr>
        <w:spacing w:line="240" w:lineRule="auto"/>
        <w:contextualSpacing/>
        <w:rPr>
          <w:sz w:val="24"/>
          <w:szCs w:val="24"/>
        </w:rPr>
      </w:pPr>
    </w:p>
    <w:p w14:paraId="127D3ECF" w14:textId="11FAD4D9" w:rsidR="00095112" w:rsidRPr="00402FE3" w:rsidRDefault="003C2FE1" w:rsidP="003C5F7B">
      <w:pPr>
        <w:spacing w:line="240" w:lineRule="auto"/>
        <w:contextualSpacing/>
        <w:rPr>
          <w:b/>
          <w:bCs/>
          <w:sz w:val="24"/>
          <w:szCs w:val="24"/>
        </w:rPr>
      </w:pPr>
      <w:r w:rsidRPr="00402FE3">
        <w:rPr>
          <w:b/>
          <w:bCs/>
          <w:sz w:val="24"/>
          <w:szCs w:val="24"/>
        </w:rPr>
        <w:t>Heritage Statement</w:t>
      </w:r>
      <w:r w:rsidR="003C5F7B" w:rsidRPr="00402FE3">
        <w:rPr>
          <w:b/>
          <w:bCs/>
          <w:sz w:val="24"/>
          <w:szCs w:val="24"/>
        </w:rPr>
        <w:t xml:space="preserve">: </w:t>
      </w:r>
      <w:r w:rsidR="00095112" w:rsidRPr="00402FE3">
        <w:rPr>
          <w:b/>
          <w:bCs/>
          <w:sz w:val="24"/>
          <w:szCs w:val="24"/>
        </w:rPr>
        <w:t>Application for Listed Building Consent – The Lydiate, Bradford Lane, Belbroughton, DY</w:t>
      </w:r>
      <w:r w:rsidR="000F067C" w:rsidRPr="00402FE3">
        <w:rPr>
          <w:b/>
          <w:bCs/>
          <w:sz w:val="24"/>
          <w:szCs w:val="24"/>
        </w:rPr>
        <w:t>9 0DP (“The Lydiate”</w:t>
      </w:r>
      <w:r w:rsidR="00E07554" w:rsidRPr="00402FE3">
        <w:rPr>
          <w:b/>
          <w:bCs/>
          <w:sz w:val="24"/>
          <w:szCs w:val="24"/>
        </w:rPr>
        <w:t xml:space="preserve"> or “The </w:t>
      </w:r>
      <w:r w:rsidR="00AF22FB" w:rsidRPr="00402FE3">
        <w:rPr>
          <w:b/>
          <w:bCs/>
          <w:sz w:val="24"/>
          <w:szCs w:val="24"/>
        </w:rPr>
        <w:t>Property</w:t>
      </w:r>
      <w:r w:rsidR="00E07554" w:rsidRPr="00402FE3">
        <w:rPr>
          <w:b/>
          <w:bCs/>
          <w:sz w:val="24"/>
          <w:szCs w:val="24"/>
        </w:rPr>
        <w:t>”</w:t>
      </w:r>
      <w:r w:rsidR="000F067C" w:rsidRPr="00402FE3">
        <w:rPr>
          <w:b/>
          <w:bCs/>
          <w:sz w:val="24"/>
          <w:szCs w:val="24"/>
        </w:rPr>
        <w:t>)</w:t>
      </w:r>
    </w:p>
    <w:p w14:paraId="3A397569" w14:textId="77777777" w:rsidR="003C5F7B" w:rsidRPr="00402FE3" w:rsidRDefault="003C5F7B">
      <w:pPr>
        <w:rPr>
          <w:sz w:val="24"/>
          <w:szCs w:val="24"/>
        </w:rPr>
      </w:pPr>
    </w:p>
    <w:p w14:paraId="33D2E384" w14:textId="030EC90D" w:rsidR="00190626" w:rsidRPr="00402FE3" w:rsidRDefault="00A13E30">
      <w:pPr>
        <w:rPr>
          <w:sz w:val="24"/>
          <w:szCs w:val="24"/>
        </w:rPr>
      </w:pPr>
      <w:r w:rsidRPr="00402FE3">
        <w:rPr>
          <w:sz w:val="24"/>
          <w:szCs w:val="24"/>
        </w:rPr>
        <w:t>We are writing to apply for Listed Building Consent to in</w:t>
      </w:r>
      <w:r w:rsidR="00841B74" w:rsidRPr="00402FE3">
        <w:rPr>
          <w:sz w:val="24"/>
          <w:szCs w:val="24"/>
        </w:rPr>
        <w:t>s</w:t>
      </w:r>
      <w:r w:rsidR="00190626" w:rsidRPr="00402FE3">
        <w:rPr>
          <w:sz w:val="24"/>
          <w:szCs w:val="24"/>
        </w:rPr>
        <w:t>tall</w:t>
      </w:r>
      <w:r w:rsidR="00841B74" w:rsidRPr="00402FE3">
        <w:rPr>
          <w:sz w:val="24"/>
          <w:szCs w:val="24"/>
        </w:rPr>
        <w:t xml:space="preserve"> a hybrid heating system in the Lydiate. The new hot water system will be fuelled by a combination of</w:t>
      </w:r>
      <w:r w:rsidR="00EE41B6" w:rsidRPr="00402FE3">
        <w:rPr>
          <w:sz w:val="24"/>
          <w:szCs w:val="24"/>
        </w:rPr>
        <w:t xml:space="preserve"> the existing oil fuelled boilers and a new air source heat pump system</w:t>
      </w:r>
      <w:r w:rsidR="00D40BE3" w:rsidRPr="00402FE3">
        <w:rPr>
          <w:sz w:val="24"/>
          <w:szCs w:val="24"/>
        </w:rPr>
        <w:t xml:space="preserve"> (“ASHP”)</w:t>
      </w:r>
      <w:r w:rsidR="00EE41B6" w:rsidRPr="00402FE3">
        <w:rPr>
          <w:sz w:val="24"/>
          <w:szCs w:val="24"/>
        </w:rPr>
        <w:t>. The hot water system will run solely off air source heat pump</w:t>
      </w:r>
      <w:r w:rsidR="00A85ED1" w:rsidRPr="00402FE3">
        <w:rPr>
          <w:sz w:val="24"/>
          <w:szCs w:val="24"/>
        </w:rPr>
        <w:t xml:space="preserve"> for most of the year whilst the air temperature is above 6 degrees and will rely on the existing oil fuelled boilers for back up when the air temperature gets colder.</w:t>
      </w:r>
    </w:p>
    <w:p w14:paraId="1DE3D8AA" w14:textId="3E5FD6BF" w:rsidR="00A85ED1" w:rsidRPr="00402FE3" w:rsidRDefault="00D40BE3">
      <w:pPr>
        <w:rPr>
          <w:sz w:val="24"/>
          <w:szCs w:val="24"/>
        </w:rPr>
      </w:pPr>
      <w:r w:rsidRPr="00402FE3">
        <w:rPr>
          <w:sz w:val="24"/>
          <w:szCs w:val="24"/>
        </w:rPr>
        <w:t>The ASHP system will require installation of the following:</w:t>
      </w:r>
    </w:p>
    <w:p w14:paraId="7DBE3520" w14:textId="3408F98C" w:rsidR="00D40BE3" w:rsidRPr="00402FE3" w:rsidRDefault="00D40BE3" w:rsidP="00D40BE3">
      <w:pPr>
        <w:pStyle w:val="ListParagraph"/>
        <w:numPr>
          <w:ilvl w:val="0"/>
          <w:numId w:val="3"/>
        </w:numPr>
        <w:rPr>
          <w:sz w:val="24"/>
          <w:szCs w:val="24"/>
        </w:rPr>
      </w:pPr>
      <w:r w:rsidRPr="00402FE3">
        <w:rPr>
          <w:sz w:val="24"/>
          <w:szCs w:val="24"/>
        </w:rPr>
        <w:t xml:space="preserve">2x 16 Kw Midea ASHP to the rear of the </w:t>
      </w:r>
      <w:r w:rsidR="00AE6F7C" w:rsidRPr="00402FE3">
        <w:rPr>
          <w:sz w:val="24"/>
          <w:szCs w:val="24"/>
        </w:rPr>
        <w:t>garden store outbuilding</w:t>
      </w:r>
    </w:p>
    <w:p w14:paraId="575A5204" w14:textId="2476A8BE" w:rsidR="00AE6F7C" w:rsidRPr="00402FE3" w:rsidRDefault="00247C4D" w:rsidP="00D40BE3">
      <w:pPr>
        <w:pStyle w:val="ListParagraph"/>
        <w:numPr>
          <w:ilvl w:val="0"/>
          <w:numId w:val="3"/>
        </w:numPr>
        <w:rPr>
          <w:sz w:val="24"/>
          <w:szCs w:val="24"/>
        </w:rPr>
      </w:pPr>
      <w:r w:rsidRPr="00402FE3">
        <w:rPr>
          <w:sz w:val="24"/>
          <w:szCs w:val="24"/>
        </w:rPr>
        <w:t>Heat exchange and 400L water buffer tank in the garden store</w:t>
      </w:r>
      <w:r w:rsidR="00211824" w:rsidRPr="00402FE3">
        <w:rPr>
          <w:sz w:val="24"/>
          <w:szCs w:val="24"/>
        </w:rPr>
        <w:t xml:space="preserve"> </w:t>
      </w:r>
      <w:r w:rsidR="00CA6E18" w:rsidRPr="00402FE3">
        <w:rPr>
          <w:sz w:val="24"/>
          <w:szCs w:val="24"/>
        </w:rPr>
        <w:t>next to the existing oil tanks</w:t>
      </w:r>
    </w:p>
    <w:p w14:paraId="77344A9A" w14:textId="5EDD0177" w:rsidR="00CA6E18" w:rsidRPr="00402FE3" w:rsidRDefault="00CA6E18" w:rsidP="00D40BE3">
      <w:pPr>
        <w:pStyle w:val="ListParagraph"/>
        <w:numPr>
          <w:ilvl w:val="0"/>
          <w:numId w:val="3"/>
        </w:numPr>
        <w:rPr>
          <w:sz w:val="24"/>
          <w:szCs w:val="24"/>
        </w:rPr>
      </w:pPr>
      <w:r w:rsidRPr="00402FE3">
        <w:rPr>
          <w:sz w:val="24"/>
          <w:szCs w:val="24"/>
        </w:rPr>
        <w:t xml:space="preserve">Hot water feed and return from the garden store heat exchange to the existing boiler and internal hot water loop via pipe work to be buried under the existing courtyard. No piping will be visible </w:t>
      </w:r>
      <w:r w:rsidR="0011254D" w:rsidRPr="00402FE3">
        <w:rPr>
          <w:sz w:val="24"/>
          <w:szCs w:val="24"/>
        </w:rPr>
        <w:t>after installation and the burying will require only a small and shallow channel.</w:t>
      </w:r>
    </w:p>
    <w:p w14:paraId="209C5BA1" w14:textId="69EC81F9" w:rsidR="0011254D" w:rsidRDefault="0011254D">
      <w:pPr>
        <w:rPr>
          <w:sz w:val="24"/>
          <w:szCs w:val="24"/>
        </w:rPr>
      </w:pPr>
      <w:r w:rsidRPr="00402FE3">
        <w:rPr>
          <w:sz w:val="24"/>
          <w:szCs w:val="24"/>
        </w:rPr>
        <w:t xml:space="preserve">The installation of an air source heat pump will significant reduce our use of oil to fuel the hot water system and is in line with recent government initiatives to encourage households away from carbon based fuels to renewable energy alternatives. The </w:t>
      </w:r>
      <w:r w:rsidR="00642855" w:rsidRPr="00402FE3">
        <w:rPr>
          <w:sz w:val="24"/>
          <w:szCs w:val="24"/>
        </w:rPr>
        <w:t xml:space="preserve">ASHP is modelled to </w:t>
      </w:r>
      <w:r w:rsidR="004F026A" w:rsidRPr="00402FE3">
        <w:rPr>
          <w:sz w:val="24"/>
          <w:szCs w:val="24"/>
        </w:rPr>
        <w:t xml:space="preserve">save at least 6,500 kg of carbon every year, the equivalent to planting 310 trees or </w:t>
      </w:r>
      <w:r w:rsidR="00400A16" w:rsidRPr="00402FE3">
        <w:rPr>
          <w:sz w:val="24"/>
          <w:szCs w:val="24"/>
        </w:rPr>
        <w:t>flying 63,000 long haul miles.</w:t>
      </w:r>
    </w:p>
    <w:p w14:paraId="31432844" w14:textId="786C8760" w:rsidR="00402FE3" w:rsidRDefault="00402FE3">
      <w:pPr>
        <w:rPr>
          <w:sz w:val="24"/>
          <w:szCs w:val="24"/>
        </w:rPr>
      </w:pPr>
    </w:p>
    <w:p w14:paraId="7692636F" w14:textId="68FD9960" w:rsidR="00402FE3" w:rsidRDefault="00402FE3">
      <w:pPr>
        <w:rPr>
          <w:sz w:val="24"/>
          <w:szCs w:val="24"/>
        </w:rPr>
      </w:pPr>
    </w:p>
    <w:p w14:paraId="63F1E20C" w14:textId="77777777" w:rsidR="00402FE3" w:rsidRPr="00402FE3" w:rsidRDefault="00402FE3">
      <w:pPr>
        <w:rPr>
          <w:sz w:val="24"/>
          <w:szCs w:val="24"/>
        </w:rPr>
      </w:pPr>
    </w:p>
    <w:p w14:paraId="6F0797E7" w14:textId="194FA990" w:rsidR="008011A3" w:rsidRPr="00402FE3" w:rsidRDefault="00261995">
      <w:pPr>
        <w:rPr>
          <w:sz w:val="24"/>
          <w:szCs w:val="24"/>
        </w:rPr>
      </w:pPr>
      <w:r w:rsidRPr="00402FE3">
        <w:rPr>
          <w:sz w:val="24"/>
          <w:szCs w:val="24"/>
        </w:rPr>
        <w:lastRenderedPageBreak/>
        <w:t>A detailed heat loss survey of the property has been conducted and the carbon savings are based on the following heat loss calculations:</w:t>
      </w:r>
    </w:p>
    <w:p w14:paraId="2028A825" w14:textId="4FCC4F2B" w:rsidR="00261995" w:rsidRDefault="00290BB8">
      <w:r w:rsidRPr="00290BB8">
        <w:drawing>
          <wp:inline distT="0" distB="0" distL="0" distR="0" wp14:anchorId="6C060F9E" wp14:editId="3F9208EC">
            <wp:extent cx="7457440" cy="4826000"/>
            <wp:effectExtent l="0" t="0" r="0" b="0"/>
            <wp:docPr id="6" name="Picture 5" descr="Diagram&#10;&#10;Description automatically generated">
              <a:extLst xmlns:a="http://schemas.openxmlformats.org/drawingml/2006/main">
                <a:ext uri="{FF2B5EF4-FFF2-40B4-BE49-F238E27FC236}">
                  <a16:creationId xmlns:a16="http://schemas.microsoft.com/office/drawing/2014/main" id="{BDD62B4B-719E-46E0-8950-EAF162D075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iagram&#10;&#10;Description automatically generated">
                      <a:extLst>
                        <a:ext uri="{FF2B5EF4-FFF2-40B4-BE49-F238E27FC236}">
                          <a16:creationId xmlns:a16="http://schemas.microsoft.com/office/drawing/2014/main" id="{BDD62B4B-719E-46E0-8950-EAF162D075AF}"/>
                        </a:ext>
                      </a:extLst>
                    </pic:cNvPr>
                    <pic:cNvPicPr>
                      <a:picLocks noChangeAspect="1"/>
                    </pic:cNvPicPr>
                  </pic:nvPicPr>
                  <pic:blipFill rotWithShape="1">
                    <a:blip r:embed="rId5"/>
                    <a:srcRect l="14834" t="18519" r="24000" b="11111"/>
                    <a:stretch/>
                  </pic:blipFill>
                  <pic:spPr>
                    <a:xfrm>
                      <a:off x="0" y="0"/>
                      <a:ext cx="7457440" cy="4826000"/>
                    </a:xfrm>
                    <a:prstGeom prst="rect">
                      <a:avLst/>
                    </a:prstGeom>
                  </pic:spPr>
                </pic:pic>
              </a:graphicData>
            </a:graphic>
          </wp:inline>
        </w:drawing>
      </w:r>
    </w:p>
    <w:p w14:paraId="277105C5" w14:textId="77777777" w:rsidR="00316888" w:rsidRDefault="00316888"/>
    <w:p w14:paraId="13958E69" w14:textId="77777777" w:rsidR="00402FE3" w:rsidRDefault="00402FE3">
      <w:pPr>
        <w:rPr>
          <w:sz w:val="24"/>
          <w:szCs w:val="24"/>
        </w:rPr>
      </w:pPr>
      <w:r>
        <w:rPr>
          <w:sz w:val="24"/>
          <w:szCs w:val="24"/>
        </w:rPr>
        <w:br w:type="page"/>
      </w:r>
    </w:p>
    <w:p w14:paraId="5AEAA5F7" w14:textId="2E307216" w:rsidR="00D530EB" w:rsidRPr="00402FE3" w:rsidRDefault="0090258B">
      <w:pPr>
        <w:rPr>
          <w:sz w:val="24"/>
          <w:szCs w:val="24"/>
        </w:rPr>
      </w:pPr>
      <w:r w:rsidRPr="00402FE3">
        <w:rPr>
          <w:sz w:val="24"/>
          <w:szCs w:val="24"/>
        </w:rPr>
        <w:lastRenderedPageBreak/>
        <w:t>In the table below we have selected relevant extracts from the Bromsgrove planning policies that we believe support this application as follows:</w:t>
      </w:r>
    </w:p>
    <w:tbl>
      <w:tblPr>
        <w:tblStyle w:val="TableGrid"/>
        <w:tblW w:w="13745" w:type="dxa"/>
        <w:tblLook w:val="04A0" w:firstRow="1" w:lastRow="0" w:firstColumn="1" w:lastColumn="0" w:noHBand="0" w:noVBand="1"/>
      </w:tblPr>
      <w:tblGrid>
        <w:gridCol w:w="1696"/>
        <w:gridCol w:w="5812"/>
        <w:gridCol w:w="6237"/>
      </w:tblGrid>
      <w:tr w:rsidR="00041152" w:rsidRPr="00402FE3" w14:paraId="50B0E060" w14:textId="77777777" w:rsidTr="00765504">
        <w:trPr>
          <w:tblHeader/>
        </w:trPr>
        <w:tc>
          <w:tcPr>
            <w:tcW w:w="1696" w:type="dxa"/>
          </w:tcPr>
          <w:p w14:paraId="4054B06B" w14:textId="42DED138" w:rsidR="00041152" w:rsidRPr="00402FE3" w:rsidRDefault="00041152">
            <w:pPr>
              <w:rPr>
                <w:b/>
                <w:bCs/>
                <w:sz w:val="24"/>
                <w:szCs w:val="24"/>
              </w:rPr>
            </w:pPr>
            <w:r w:rsidRPr="00402FE3">
              <w:rPr>
                <w:b/>
                <w:bCs/>
                <w:sz w:val="24"/>
                <w:szCs w:val="24"/>
              </w:rPr>
              <w:t>Planning Policy</w:t>
            </w:r>
          </w:p>
        </w:tc>
        <w:tc>
          <w:tcPr>
            <w:tcW w:w="5812" w:type="dxa"/>
          </w:tcPr>
          <w:p w14:paraId="0C00E2C0" w14:textId="00D5D337" w:rsidR="00041152" w:rsidRPr="00402FE3" w:rsidRDefault="00041152">
            <w:pPr>
              <w:rPr>
                <w:b/>
                <w:bCs/>
                <w:sz w:val="24"/>
                <w:szCs w:val="24"/>
              </w:rPr>
            </w:pPr>
            <w:r w:rsidRPr="00402FE3">
              <w:rPr>
                <w:b/>
                <w:bCs/>
                <w:sz w:val="24"/>
                <w:szCs w:val="24"/>
              </w:rPr>
              <w:t xml:space="preserve">Policy </w:t>
            </w:r>
            <w:r w:rsidR="00563FEE" w:rsidRPr="00402FE3">
              <w:rPr>
                <w:b/>
                <w:bCs/>
                <w:sz w:val="24"/>
                <w:szCs w:val="24"/>
              </w:rPr>
              <w:t>extract</w:t>
            </w:r>
          </w:p>
        </w:tc>
        <w:tc>
          <w:tcPr>
            <w:tcW w:w="6237" w:type="dxa"/>
          </w:tcPr>
          <w:p w14:paraId="1907861E" w14:textId="7181DB35" w:rsidR="00041152" w:rsidRPr="00402FE3" w:rsidRDefault="00563FEE">
            <w:pPr>
              <w:rPr>
                <w:b/>
                <w:bCs/>
                <w:sz w:val="24"/>
                <w:szCs w:val="24"/>
              </w:rPr>
            </w:pPr>
            <w:r w:rsidRPr="00402FE3">
              <w:rPr>
                <w:b/>
                <w:bCs/>
                <w:sz w:val="24"/>
                <w:szCs w:val="24"/>
              </w:rPr>
              <w:t>Application</w:t>
            </w:r>
          </w:p>
        </w:tc>
      </w:tr>
      <w:tr w:rsidR="00041152" w:rsidRPr="00402FE3" w14:paraId="67021D12" w14:textId="77777777" w:rsidTr="00636B55">
        <w:tc>
          <w:tcPr>
            <w:tcW w:w="1696" w:type="dxa"/>
          </w:tcPr>
          <w:p w14:paraId="2C9C948C" w14:textId="7E89E1EE" w:rsidR="00041152" w:rsidRPr="00402FE3" w:rsidRDefault="00563FEE">
            <w:pPr>
              <w:rPr>
                <w:sz w:val="24"/>
                <w:szCs w:val="24"/>
              </w:rPr>
            </w:pPr>
            <w:r w:rsidRPr="00402FE3">
              <w:rPr>
                <w:sz w:val="24"/>
                <w:szCs w:val="24"/>
              </w:rPr>
              <w:t>BDP 15.1(f)</w:t>
            </w:r>
          </w:p>
        </w:tc>
        <w:tc>
          <w:tcPr>
            <w:tcW w:w="5812" w:type="dxa"/>
          </w:tcPr>
          <w:p w14:paraId="0DFB9841" w14:textId="2AF8418F" w:rsidR="00041152" w:rsidRPr="00402FE3" w:rsidRDefault="00563FEE">
            <w:pPr>
              <w:rPr>
                <w:sz w:val="24"/>
                <w:szCs w:val="24"/>
              </w:rPr>
            </w:pPr>
            <w:r w:rsidRPr="00402FE3">
              <w:rPr>
                <w:sz w:val="24"/>
                <w:szCs w:val="24"/>
              </w:rPr>
              <w:t>Limited extension(s), alteration or replacement of existing buildings where the extension(s) or alterations are not disproportionate to the size of the original building</w:t>
            </w:r>
          </w:p>
        </w:tc>
        <w:tc>
          <w:tcPr>
            <w:tcW w:w="6237" w:type="dxa"/>
          </w:tcPr>
          <w:p w14:paraId="080C9D7B" w14:textId="3A6C10DF" w:rsidR="00041152" w:rsidRPr="00402FE3" w:rsidRDefault="003A06C8">
            <w:pPr>
              <w:rPr>
                <w:sz w:val="24"/>
                <w:szCs w:val="24"/>
              </w:rPr>
            </w:pPr>
            <w:r w:rsidRPr="00402FE3">
              <w:rPr>
                <w:sz w:val="24"/>
                <w:szCs w:val="24"/>
              </w:rPr>
              <w:t xml:space="preserve">The only alteration to the </w:t>
            </w:r>
            <w:r w:rsidR="002876CD" w:rsidRPr="00402FE3">
              <w:rPr>
                <w:sz w:val="24"/>
                <w:szCs w:val="24"/>
              </w:rPr>
              <w:t>visual appearance of the property will be the installation of 2 ASHP to the rear of the garden store. The ASHP are low noise and will be hidden out of sight from the ma</w:t>
            </w:r>
            <w:r w:rsidR="00A17CAB" w:rsidRPr="00402FE3">
              <w:rPr>
                <w:sz w:val="24"/>
                <w:szCs w:val="24"/>
              </w:rPr>
              <w:t>in house.</w:t>
            </w:r>
          </w:p>
        </w:tc>
      </w:tr>
      <w:tr w:rsidR="00041152" w:rsidRPr="00402FE3" w14:paraId="0BF8E0CE" w14:textId="77777777" w:rsidTr="00636B55">
        <w:tc>
          <w:tcPr>
            <w:tcW w:w="1696" w:type="dxa"/>
          </w:tcPr>
          <w:p w14:paraId="57222DE1" w14:textId="7F6B3CD6" w:rsidR="00041152" w:rsidRPr="00402FE3" w:rsidRDefault="009C5DEE">
            <w:pPr>
              <w:rPr>
                <w:sz w:val="24"/>
                <w:szCs w:val="24"/>
              </w:rPr>
            </w:pPr>
            <w:r w:rsidRPr="00402FE3">
              <w:rPr>
                <w:sz w:val="24"/>
                <w:szCs w:val="24"/>
              </w:rPr>
              <w:t>BDP 19.1(a)</w:t>
            </w:r>
          </w:p>
        </w:tc>
        <w:tc>
          <w:tcPr>
            <w:tcW w:w="5812" w:type="dxa"/>
          </w:tcPr>
          <w:p w14:paraId="5546F19F" w14:textId="6FEC0BBC" w:rsidR="00041152" w:rsidRPr="00402FE3" w:rsidRDefault="009C5DEE">
            <w:pPr>
              <w:rPr>
                <w:sz w:val="24"/>
                <w:szCs w:val="24"/>
              </w:rPr>
            </w:pPr>
            <w:r w:rsidRPr="00402FE3">
              <w:rPr>
                <w:sz w:val="24"/>
                <w:szCs w:val="24"/>
              </w:rPr>
              <w:t>Requiring developments to use appropriate tools and follow relevant guidance and procedure to achieve good design</w:t>
            </w:r>
          </w:p>
        </w:tc>
        <w:tc>
          <w:tcPr>
            <w:tcW w:w="6237" w:type="dxa"/>
          </w:tcPr>
          <w:p w14:paraId="1DB03549" w14:textId="47196E15" w:rsidR="00041152" w:rsidRPr="00402FE3" w:rsidRDefault="005827FF">
            <w:pPr>
              <w:rPr>
                <w:sz w:val="24"/>
                <w:szCs w:val="24"/>
              </w:rPr>
            </w:pPr>
            <w:proofErr w:type="spellStart"/>
            <w:r w:rsidRPr="00402FE3">
              <w:rPr>
                <w:sz w:val="24"/>
                <w:szCs w:val="24"/>
              </w:rPr>
              <w:t>EnergyZone</w:t>
            </w:r>
            <w:proofErr w:type="spellEnd"/>
            <w:r w:rsidRPr="00402FE3">
              <w:rPr>
                <w:sz w:val="24"/>
                <w:szCs w:val="24"/>
              </w:rPr>
              <w:t xml:space="preserve"> engineer complete solutions for heating systems and will not only provide the heat-pump and all associated components, but also the complete turnkey installation covering both electrical and plumbing work all with our own certified and qualified plumbers and electricians. We will also provide the MCS certification and supporting documents such as the ground source heat-pump checklist and room by room calculations that are required to claim the Renewable Heat Incentive.</w:t>
            </w:r>
          </w:p>
        </w:tc>
      </w:tr>
      <w:tr w:rsidR="00483BFC" w:rsidRPr="00402FE3" w14:paraId="51534C67" w14:textId="77777777" w:rsidTr="00636B55">
        <w:tc>
          <w:tcPr>
            <w:tcW w:w="1696" w:type="dxa"/>
          </w:tcPr>
          <w:p w14:paraId="7908CE96" w14:textId="77777777" w:rsidR="002E64A1" w:rsidRPr="00402FE3" w:rsidRDefault="00483BFC">
            <w:pPr>
              <w:rPr>
                <w:sz w:val="24"/>
                <w:szCs w:val="24"/>
              </w:rPr>
            </w:pPr>
            <w:r w:rsidRPr="00402FE3">
              <w:rPr>
                <w:sz w:val="24"/>
                <w:szCs w:val="24"/>
              </w:rPr>
              <w:t>BDP 20</w:t>
            </w:r>
            <w:r w:rsidR="002E64A1" w:rsidRPr="00402FE3">
              <w:rPr>
                <w:sz w:val="24"/>
                <w:szCs w:val="24"/>
              </w:rPr>
              <w:t xml:space="preserve"> / </w:t>
            </w:r>
          </w:p>
          <w:p w14:paraId="7B155018" w14:textId="0D8D191B" w:rsidR="00483BFC" w:rsidRPr="00402FE3" w:rsidRDefault="002E64A1">
            <w:pPr>
              <w:rPr>
                <w:sz w:val="24"/>
                <w:szCs w:val="24"/>
              </w:rPr>
            </w:pPr>
            <w:r w:rsidRPr="00402FE3">
              <w:rPr>
                <w:sz w:val="24"/>
                <w:szCs w:val="24"/>
              </w:rPr>
              <w:t>SPD 3.8.1</w:t>
            </w:r>
          </w:p>
        </w:tc>
        <w:tc>
          <w:tcPr>
            <w:tcW w:w="5812" w:type="dxa"/>
          </w:tcPr>
          <w:p w14:paraId="7BAEB50E" w14:textId="21ED3F83" w:rsidR="00483BFC" w:rsidRPr="00402FE3" w:rsidRDefault="007F0C5E">
            <w:pPr>
              <w:rPr>
                <w:sz w:val="24"/>
                <w:szCs w:val="24"/>
              </w:rPr>
            </w:pPr>
            <w:r w:rsidRPr="00402FE3">
              <w:rPr>
                <w:sz w:val="24"/>
                <w:szCs w:val="24"/>
              </w:rPr>
              <w:t>Bromsgrove District Plan Policy BDP20 requires applicants to provide a Statement of Significance (SoS), sometimes called a Heritage Statement, to describe the significance of the heritage assets in order to understand the potential impact of the proposal on its significance. To assist your application a suitable SoS should accompany your application</w:t>
            </w:r>
          </w:p>
        </w:tc>
        <w:tc>
          <w:tcPr>
            <w:tcW w:w="6237" w:type="dxa"/>
          </w:tcPr>
          <w:p w14:paraId="73EC943C" w14:textId="27F752DD" w:rsidR="00483BFC" w:rsidRPr="00402FE3" w:rsidRDefault="006D0A54">
            <w:pPr>
              <w:rPr>
                <w:sz w:val="24"/>
                <w:szCs w:val="24"/>
              </w:rPr>
            </w:pPr>
            <w:r w:rsidRPr="00402FE3">
              <w:rPr>
                <w:sz w:val="24"/>
                <w:szCs w:val="24"/>
              </w:rPr>
              <w:t xml:space="preserve">Please see the weblink below for Heritage England’s description of the significance of the </w:t>
            </w:r>
            <w:r w:rsidR="00AF22FB" w:rsidRPr="00402FE3">
              <w:rPr>
                <w:sz w:val="24"/>
                <w:szCs w:val="24"/>
              </w:rPr>
              <w:t>Property</w:t>
            </w:r>
            <w:r w:rsidRPr="00402FE3">
              <w:rPr>
                <w:sz w:val="24"/>
                <w:szCs w:val="24"/>
              </w:rPr>
              <w:t>:</w:t>
            </w:r>
          </w:p>
          <w:p w14:paraId="4E2A1E1C" w14:textId="77777777" w:rsidR="006D0A54" w:rsidRPr="00402FE3" w:rsidRDefault="006D0A54">
            <w:pPr>
              <w:rPr>
                <w:sz w:val="24"/>
                <w:szCs w:val="24"/>
              </w:rPr>
            </w:pPr>
          </w:p>
          <w:p w14:paraId="2C50A738" w14:textId="20CD112B" w:rsidR="006D0A54" w:rsidRPr="00402FE3" w:rsidRDefault="00402FE3">
            <w:pPr>
              <w:rPr>
                <w:sz w:val="24"/>
                <w:szCs w:val="24"/>
              </w:rPr>
            </w:pPr>
            <w:hyperlink r:id="rId6" w:history="1">
              <w:r w:rsidR="006D0A54" w:rsidRPr="00402FE3">
                <w:rPr>
                  <w:rStyle w:val="Hyperlink"/>
                  <w:sz w:val="24"/>
                  <w:szCs w:val="24"/>
                </w:rPr>
                <w:t>https://historicengland.org.uk/listing/the-list/list-entry/1100147</w:t>
              </w:r>
            </w:hyperlink>
          </w:p>
          <w:p w14:paraId="7864E287" w14:textId="078249AA" w:rsidR="006D0A54" w:rsidRPr="00402FE3" w:rsidRDefault="006D0A54">
            <w:pPr>
              <w:rPr>
                <w:sz w:val="24"/>
                <w:szCs w:val="24"/>
              </w:rPr>
            </w:pPr>
          </w:p>
        </w:tc>
      </w:tr>
      <w:tr w:rsidR="00563FEE" w:rsidRPr="00402FE3" w14:paraId="7046D7FB" w14:textId="77777777" w:rsidTr="00636B55">
        <w:tc>
          <w:tcPr>
            <w:tcW w:w="1696" w:type="dxa"/>
          </w:tcPr>
          <w:p w14:paraId="2ABB3402" w14:textId="15978CC9" w:rsidR="00563FEE" w:rsidRPr="00402FE3" w:rsidRDefault="00CF7F06">
            <w:pPr>
              <w:rPr>
                <w:sz w:val="24"/>
                <w:szCs w:val="24"/>
              </w:rPr>
            </w:pPr>
            <w:r w:rsidRPr="00402FE3">
              <w:rPr>
                <w:sz w:val="24"/>
                <w:szCs w:val="24"/>
              </w:rPr>
              <w:t>SPD</w:t>
            </w:r>
            <w:r w:rsidR="00047488" w:rsidRPr="00402FE3">
              <w:rPr>
                <w:sz w:val="24"/>
                <w:szCs w:val="24"/>
              </w:rPr>
              <w:t xml:space="preserve"> 3.1.2</w:t>
            </w:r>
          </w:p>
        </w:tc>
        <w:tc>
          <w:tcPr>
            <w:tcW w:w="5812" w:type="dxa"/>
          </w:tcPr>
          <w:p w14:paraId="6CEC584A" w14:textId="77777777" w:rsidR="00636B55" w:rsidRPr="00402FE3" w:rsidRDefault="00636B55">
            <w:pPr>
              <w:rPr>
                <w:sz w:val="24"/>
                <w:szCs w:val="24"/>
              </w:rPr>
            </w:pPr>
            <w:r w:rsidRPr="00402FE3">
              <w:rPr>
                <w:sz w:val="24"/>
                <w:szCs w:val="24"/>
              </w:rPr>
              <w:t xml:space="preserve">there are three main issues which alterations or extension applications will need to take into account and address: </w:t>
            </w:r>
          </w:p>
          <w:p w14:paraId="2E53CCE1" w14:textId="77777777" w:rsidR="00636B55" w:rsidRPr="00402FE3" w:rsidRDefault="00636B55">
            <w:pPr>
              <w:rPr>
                <w:sz w:val="24"/>
                <w:szCs w:val="24"/>
              </w:rPr>
            </w:pPr>
          </w:p>
          <w:p w14:paraId="54098ECF" w14:textId="7115C976" w:rsidR="00636B55" w:rsidRPr="00402FE3" w:rsidRDefault="00636B55" w:rsidP="00DE066B">
            <w:pPr>
              <w:pStyle w:val="ListParagraph"/>
              <w:numPr>
                <w:ilvl w:val="0"/>
                <w:numId w:val="2"/>
              </w:numPr>
              <w:rPr>
                <w:sz w:val="24"/>
                <w:szCs w:val="24"/>
              </w:rPr>
            </w:pPr>
            <w:r w:rsidRPr="00402FE3">
              <w:rPr>
                <w:sz w:val="24"/>
                <w:szCs w:val="24"/>
              </w:rPr>
              <w:t xml:space="preserve">Developments should ensure they protect and consider the impact on neighbouring amenity. </w:t>
            </w:r>
          </w:p>
          <w:p w14:paraId="7BB90C69" w14:textId="77777777" w:rsidR="00636B55" w:rsidRPr="00402FE3" w:rsidRDefault="00636B55">
            <w:pPr>
              <w:rPr>
                <w:sz w:val="24"/>
                <w:szCs w:val="24"/>
              </w:rPr>
            </w:pPr>
          </w:p>
          <w:p w14:paraId="6BCD205B" w14:textId="77777777" w:rsidR="00636B55" w:rsidRPr="00402FE3" w:rsidRDefault="00636B55">
            <w:pPr>
              <w:rPr>
                <w:sz w:val="24"/>
                <w:szCs w:val="24"/>
              </w:rPr>
            </w:pPr>
            <w:r w:rsidRPr="00402FE3">
              <w:rPr>
                <w:sz w:val="24"/>
                <w:szCs w:val="24"/>
              </w:rPr>
              <w:lastRenderedPageBreak/>
              <w:t xml:space="preserve">2. Consideration of the impact on neighbouring properties and the impact on the street scene. </w:t>
            </w:r>
          </w:p>
          <w:p w14:paraId="57770EC8" w14:textId="77777777" w:rsidR="00636B55" w:rsidRPr="00402FE3" w:rsidRDefault="00636B55">
            <w:pPr>
              <w:rPr>
                <w:sz w:val="24"/>
                <w:szCs w:val="24"/>
              </w:rPr>
            </w:pPr>
          </w:p>
          <w:p w14:paraId="6AC6F330" w14:textId="375F20B8" w:rsidR="00563FEE" w:rsidRPr="00402FE3" w:rsidRDefault="00636B55">
            <w:pPr>
              <w:rPr>
                <w:sz w:val="24"/>
                <w:szCs w:val="24"/>
              </w:rPr>
            </w:pPr>
            <w:r w:rsidRPr="00402FE3">
              <w:rPr>
                <w:sz w:val="24"/>
                <w:szCs w:val="24"/>
              </w:rPr>
              <w:t>3. Extensions should enhance, protect and give consideration to any impact of the development on the existing dwelling</w:t>
            </w:r>
          </w:p>
        </w:tc>
        <w:tc>
          <w:tcPr>
            <w:tcW w:w="6237" w:type="dxa"/>
          </w:tcPr>
          <w:p w14:paraId="1113BA8E" w14:textId="77777777" w:rsidR="003712E7" w:rsidRPr="00402FE3" w:rsidRDefault="008B2970" w:rsidP="00162EDA">
            <w:pPr>
              <w:rPr>
                <w:sz w:val="24"/>
                <w:szCs w:val="24"/>
              </w:rPr>
            </w:pPr>
            <w:r w:rsidRPr="00402FE3">
              <w:rPr>
                <w:sz w:val="24"/>
                <w:szCs w:val="24"/>
              </w:rPr>
              <w:lastRenderedPageBreak/>
              <w:t>The installations will not be visible from the road or the house. The Midea units are one of the quietest on the market.</w:t>
            </w:r>
          </w:p>
          <w:p w14:paraId="43D9A98F" w14:textId="77777777" w:rsidR="00162EDA" w:rsidRPr="00402FE3" w:rsidRDefault="00162EDA" w:rsidP="00162EDA">
            <w:pPr>
              <w:rPr>
                <w:sz w:val="24"/>
                <w:szCs w:val="24"/>
              </w:rPr>
            </w:pPr>
          </w:p>
          <w:p w14:paraId="6D6C56B2" w14:textId="51D6DE44" w:rsidR="00162EDA" w:rsidRPr="00402FE3" w:rsidRDefault="00162EDA" w:rsidP="00162EDA">
            <w:pPr>
              <w:rPr>
                <w:sz w:val="24"/>
                <w:szCs w:val="24"/>
              </w:rPr>
            </w:pPr>
            <w:r w:rsidRPr="00402FE3">
              <w:rPr>
                <w:sz w:val="24"/>
                <w:szCs w:val="24"/>
              </w:rPr>
              <w:t>The installation will future proof the property against increasing carbon fuel costs and a shift to de-carbonised fuels.</w:t>
            </w:r>
          </w:p>
        </w:tc>
      </w:tr>
      <w:tr w:rsidR="00F419F8" w:rsidRPr="00402FE3" w14:paraId="23FA2361" w14:textId="77777777" w:rsidTr="00636B55">
        <w:tc>
          <w:tcPr>
            <w:tcW w:w="1696" w:type="dxa"/>
          </w:tcPr>
          <w:p w14:paraId="644FB5E2" w14:textId="0FDE5D06" w:rsidR="00F419F8" w:rsidRPr="00402FE3" w:rsidRDefault="00CF7F06">
            <w:pPr>
              <w:rPr>
                <w:sz w:val="24"/>
                <w:szCs w:val="24"/>
              </w:rPr>
            </w:pPr>
            <w:r w:rsidRPr="00402FE3">
              <w:rPr>
                <w:sz w:val="24"/>
                <w:szCs w:val="24"/>
              </w:rPr>
              <w:t>SPD</w:t>
            </w:r>
            <w:r w:rsidR="00765504" w:rsidRPr="00402FE3">
              <w:rPr>
                <w:sz w:val="24"/>
                <w:szCs w:val="24"/>
              </w:rPr>
              <w:t xml:space="preserve"> 3.1.11</w:t>
            </w:r>
          </w:p>
        </w:tc>
        <w:tc>
          <w:tcPr>
            <w:tcW w:w="5812" w:type="dxa"/>
          </w:tcPr>
          <w:p w14:paraId="610192CA" w14:textId="561BA7D2" w:rsidR="00F419F8" w:rsidRPr="00402FE3" w:rsidRDefault="00765504">
            <w:pPr>
              <w:rPr>
                <w:sz w:val="24"/>
                <w:szCs w:val="24"/>
              </w:rPr>
            </w:pPr>
            <w:r w:rsidRPr="00402FE3">
              <w:rPr>
                <w:sz w:val="24"/>
                <w:szCs w:val="24"/>
              </w:rPr>
              <w:t xml:space="preserve">An alteration or extension must consider the impact on the street scene. An alteration or extension must: </w:t>
            </w:r>
            <w:proofErr w:type="spellStart"/>
            <w:r w:rsidRPr="00402FE3">
              <w:rPr>
                <w:sz w:val="24"/>
                <w:szCs w:val="24"/>
              </w:rPr>
              <w:t>i</w:t>
            </w:r>
            <w:proofErr w:type="spellEnd"/>
            <w:r w:rsidRPr="00402FE3">
              <w:rPr>
                <w:sz w:val="24"/>
                <w:szCs w:val="24"/>
              </w:rPr>
              <w:t>) Enhance and strengthen the local distinctiveness of an area, for example reflect the pattern of spacing of buildings; ii) Not normally project forward of the principal elevation, or that fronting the public domain. One exception would be the addition of a porch; and iii) Respect local styles and features to maintain local distinctiveness.</w:t>
            </w:r>
          </w:p>
        </w:tc>
        <w:tc>
          <w:tcPr>
            <w:tcW w:w="6237" w:type="dxa"/>
          </w:tcPr>
          <w:p w14:paraId="505B5446" w14:textId="77777777" w:rsidR="000960CB" w:rsidRPr="00402FE3" w:rsidRDefault="000960CB" w:rsidP="000960CB">
            <w:pPr>
              <w:rPr>
                <w:sz w:val="24"/>
                <w:szCs w:val="24"/>
              </w:rPr>
            </w:pPr>
            <w:r w:rsidRPr="00402FE3">
              <w:rPr>
                <w:sz w:val="24"/>
                <w:szCs w:val="24"/>
              </w:rPr>
              <w:t>The installations will not be visible from the road or the house. The Midea units are one of the quietest on the market.</w:t>
            </w:r>
          </w:p>
          <w:p w14:paraId="14693A9C" w14:textId="4F8E3FE2" w:rsidR="00BB5E87" w:rsidRPr="00402FE3" w:rsidRDefault="00BB5E87">
            <w:pPr>
              <w:rPr>
                <w:sz w:val="24"/>
                <w:szCs w:val="24"/>
              </w:rPr>
            </w:pPr>
          </w:p>
        </w:tc>
      </w:tr>
    </w:tbl>
    <w:p w14:paraId="30206E51" w14:textId="0AFDF003" w:rsidR="00041152" w:rsidRPr="00402FE3" w:rsidRDefault="00041152">
      <w:pPr>
        <w:rPr>
          <w:sz w:val="24"/>
          <w:szCs w:val="24"/>
        </w:rPr>
      </w:pPr>
    </w:p>
    <w:p w14:paraId="4AED67A6" w14:textId="27FB1988" w:rsidR="005778DD" w:rsidRPr="00402FE3" w:rsidRDefault="005778DD">
      <w:pPr>
        <w:rPr>
          <w:sz w:val="24"/>
          <w:szCs w:val="24"/>
        </w:rPr>
      </w:pPr>
      <w:r w:rsidRPr="00402FE3">
        <w:rPr>
          <w:sz w:val="24"/>
          <w:szCs w:val="24"/>
        </w:rPr>
        <w:t xml:space="preserve">Please do let us know if you require any additional information or if </w:t>
      </w:r>
      <w:r w:rsidR="00EA0DD1" w:rsidRPr="00402FE3">
        <w:rPr>
          <w:sz w:val="24"/>
          <w:szCs w:val="24"/>
        </w:rPr>
        <w:t>there are any queries or concerns.</w:t>
      </w:r>
    </w:p>
    <w:p w14:paraId="670F33D8" w14:textId="7DE774C4" w:rsidR="00EA0DD1" w:rsidRPr="00402FE3" w:rsidRDefault="00EA0DD1">
      <w:pPr>
        <w:rPr>
          <w:sz w:val="24"/>
          <w:szCs w:val="24"/>
        </w:rPr>
      </w:pPr>
      <w:r w:rsidRPr="00402FE3">
        <w:rPr>
          <w:sz w:val="24"/>
          <w:szCs w:val="24"/>
        </w:rPr>
        <w:t>Kind regards</w:t>
      </w:r>
    </w:p>
    <w:p w14:paraId="337783A2" w14:textId="0B019E38" w:rsidR="00EA0DD1" w:rsidRPr="00402FE3" w:rsidRDefault="00EA0DD1">
      <w:pPr>
        <w:rPr>
          <w:sz w:val="24"/>
          <w:szCs w:val="24"/>
        </w:rPr>
      </w:pPr>
    </w:p>
    <w:p w14:paraId="581F7EF1" w14:textId="6E88E50C" w:rsidR="00EA0DD1" w:rsidRPr="00402FE3" w:rsidRDefault="00EA0DD1">
      <w:pPr>
        <w:rPr>
          <w:b/>
          <w:bCs/>
          <w:sz w:val="24"/>
          <w:szCs w:val="24"/>
        </w:rPr>
      </w:pPr>
      <w:r w:rsidRPr="00402FE3">
        <w:rPr>
          <w:b/>
          <w:bCs/>
          <w:sz w:val="24"/>
          <w:szCs w:val="24"/>
        </w:rPr>
        <w:t>Chris Thompson and Elizabeth Fox,</w:t>
      </w:r>
    </w:p>
    <w:p w14:paraId="14C80116" w14:textId="018DA057" w:rsidR="00EA0DD1" w:rsidRPr="00402FE3" w:rsidRDefault="00EA0DD1">
      <w:pPr>
        <w:rPr>
          <w:sz w:val="24"/>
          <w:szCs w:val="24"/>
        </w:rPr>
      </w:pPr>
      <w:r w:rsidRPr="00402FE3">
        <w:rPr>
          <w:sz w:val="24"/>
          <w:szCs w:val="24"/>
        </w:rPr>
        <w:t>The Lydiate, Bradford Lane, Belbroughton, DY9 0DP</w:t>
      </w:r>
    </w:p>
    <w:p w14:paraId="314CC9D3" w14:textId="728C5608" w:rsidR="00EA0DD1" w:rsidRPr="00402FE3" w:rsidRDefault="00EA0DD1">
      <w:pPr>
        <w:rPr>
          <w:sz w:val="24"/>
          <w:szCs w:val="24"/>
        </w:rPr>
      </w:pPr>
      <w:r w:rsidRPr="00402FE3">
        <w:rPr>
          <w:sz w:val="24"/>
          <w:szCs w:val="24"/>
        </w:rPr>
        <w:t>Telephone: 07740918443.</w:t>
      </w:r>
    </w:p>
    <w:sectPr w:rsidR="00EA0DD1" w:rsidRPr="00402FE3" w:rsidSect="00675290">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4585"/>
    <w:multiLevelType w:val="hybridMultilevel"/>
    <w:tmpl w:val="8D08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DD56F6"/>
    <w:multiLevelType w:val="hybridMultilevel"/>
    <w:tmpl w:val="ACDE652C"/>
    <w:lvl w:ilvl="0" w:tplc="8752F23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E2824FB"/>
    <w:multiLevelType w:val="hybridMultilevel"/>
    <w:tmpl w:val="E6CE2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94"/>
    <w:rsid w:val="00001F83"/>
    <w:rsid w:val="00041152"/>
    <w:rsid w:val="00047488"/>
    <w:rsid w:val="0005246B"/>
    <w:rsid w:val="0006293B"/>
    <w:rsid w:val="0006651B"/>
    <w:rsid w:val="000935A2"/>
    <w:rsid w:val="00095112"/>
    <w:rsid w:val="000960CB"/>
    <w:rsid w:val="000A0584"/>
    <w:rsid w:val="000C463D"/>
    <w:rsid w:val="000D040A"/>
    <w:rsid w:val="000D3BDD"/>
    <w:rsid w:val="000E104E"/>
    <w:rsid w:val="000E6B2C"/>
    <w:rsid w:val="000F067C"/>
    <w:rsid w:val="0011254D"/>
    <w:rsid w:val="00123E5E"/>
    <w:rsid w:val="00146C1C"/>
    <w:rsid w:val="0015165F"/>
    <w:rsid w:val="00152EF8"/>
    <w:rsid w:val="00160485"/>
    <w:rsid w:val="00162EDA"/>
    <w:rsid w:val="001747F1"/>
    <w:rsid w:val="00190626"/>
    <w:rsid w:val="001A2E57"/>
    <w:rsid w:val="00211824"/>
    <w:rsid w:val="00247C4D"/>
    <w:rsid w:val="00261995"/>
    <w:rsid w:val="002876CD"/>
    <w:rsid w:val="00290BB8"/>
    <w:rsid w:val="002E64A1"/>
    <w:rsid w:val="00311E6F"/>
    <w:rsid w:val="00316888"/>
    <w:rsid w:val="003215D1"/>
    <w:rsid w:val="003601C2"/>
    <w:rsid w:val="003712E7"/>
    <w:rsid w:val="00393A4A"/>
    <w:rsid w:val="003A06C8"/>
    <w:rsid w:val="003A14E6"/>
    <w:rsid w:val="003B693D"/>
    <w:rsid w:val="003C2FE1"/>
    <w:rsid w:val="003C5F7B"/>
    <w:rsid w:val="00400A16"/>
    <w:rsid w:val="00402FE3"/>
    <w:rsid w:val="00431748"/>
    <w:rsid w:val="00431D97"/>
    <w:rsid w:val="00483BFC"/>
    <w:rsid w:val="0049630C"/>
    <w:rsid w:val="004B32E5"/>
    <w:rsid w:val="004F026A"/>
    <w:rsid w:val="00563FEE"/>
    <w:rsid w:val="005778DD"/>
    <w:rsid w:val="005827FF"/>
    <w:rsid w:val="005F0BC2"/>
    <w:rsid w:val="00636B55"/>
    <w:rsid w:val="0064271C"/>
    <w:rsid w:val="00642855"/>
    <w:rsid w:val="0064323C"/>
    <w:rsid w:val="00644EE2"/>
    <w:rsid w:val="006544F6"/>
    <w:rsid w:val="00675290"/>
    <w:rsid w:val="00676BF2"/>
    <w:rsid w:val="0068411E"/>
    <w:rsid w:val="00697528"/>
    <w:rsid w:val="006A59E1"/>
    <w:rsid w:val="006A5D0E"/>
    <w:rsid w:val="006D0A54"/>
    <w:rsid w:val="00700AD7"/>
    <w:rsid w:val="00710D0D"/>
    <w:rsid w:val="00715CF7"/>
    <w:rsid w:val="007340D1"/>
    <w:rsid w:val="007449FA"/>
    <w:rsid w:val="00765504"/>
    <w:rsid w:val="007659FD"/>
    <w:rsid w:val="0076665A"/>
    <w:rsid w:val="007E6D50"/>
    <w:rsid w:val="007F0C5E"/>
    <w:rsid w:val="008011A3"/>
    <w:rsid w:val="00841B74"/>
    <w:rsid w:val="0087144E"/>
    <w:rsid w:val="00871D2A"/>
    <w:rsid w:val="008B1664"/>
    <w:rsid w:val="008B2970"/>
    <w:rsid w:val="008D1C99"/>
    <w:rsid w:val="008F3BBF"/>
    <w:rsid w:val="0090258B"/>
    <w:rsid w:val="00903045"/>
    <w:rsid w:val="00934C63"/>
    <w:rsid w:val="009A59FA"/>
    <w:rsid w:val="009C5DEE"/>
    <w:rsid w:val="00A13E30"/>
    <w:rsid w:val="00A17CAB"/>
    <w:rsid w:val="00A85ED1"/>
    <w:rsid w:val="00AE6F7C"/>
    <w:rsid w:val="00AF2190"/>
    <w:rsid w:val="00AF22FB"/>
    <w:rsid w:val="00B33094"/>
    <w:rsid w:val="00B348C3"/>
    <w:rsid w:val="00B769FE"/>
    <w:rsid w:val="00B85B54"/>
    <w:rsid w:val="00B876B6"/>
    <w:rsid w:val="00BB5E87"/>
    <w:rsid w:val="00BB685F"/>
    <w:rsid w:val="00C11C30"/>
    <w:rsid w:val="00C31E33"/>
    <w:rsid w:val="00C469C3"/>
    <w:rsid w:val="00CA6E18"/>
    <w:rsid w:val="00CE383E"/>
    <w:rsid w:val="00CF7F06"/>
    <w:rsid w:val="00D0345F"/>
    <w:rsid w:val="00D13EFB"/>
    <w:rsid w:val="00D2319A"/>
    <w:rsid w:val="00D40BE3"/>
    <w:rsid w:val="00D42437"/>
    <w:rsid w:val="00D530EB"/>
    <w:rsid w:val="00D63462"/>
    <w:rsid w:val="00D82344"/>
    <w:rsid w:val="00DA46A8"/>
    <w:rsid w:val="00DE066B"/>
    <w:rsid w:val="00E07554"/>
    <w:rsid w:val="00E14BEA"/>
    <w:rsid w:val="00E440D3"/>
    <w:rsid w:val="00E44324"/>
    <w:rsid w:val="00EA0DD1"/>
    <w:rsid w:val="00EB4DC8"/>
    <w:rsid w:val="00EE41B6"/>
    <w:rsid w:val="00F26258"/>
    <w:rsid w:val="00F419F8"/>
    <w:rsid w:val="00FF7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110A"/>
  <w15:chartTrackingRefBased/>
  <w15:docId w15:val="{2CB6786E-13BF-4DA5-A4F8-E646495D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0A54"/>
    <w:rPr>
      <w:color w:val="0563C1" w:themeColor="hyperlink"/>
      <w:u w:val="single"/>
    </w:rPr>
  </w:style>
  <w:style w:type="character" w:styleId="UnresolvedMention">
    <w:name w:val="Unresolved Mention"/>
    <w:basedOn w:val="DefaultParagraphFont"/>
    <w:uiPriority w:val="99"/>
    <w:semiHidden/>
    <w:unhideWhenUsed/>
    <w:rsid w:val="006D0A54"/>
    <w:rPr>
      <w:color w:val="605E5C"/>
      <w:shd w:val="clear" w:color="auto" w:fill="E1DFDD"/>
    </w:rPr>
  </w:style>
  <w:style w:type="character" w:styleId="Strong">
    <w:name w:val="Strong"/>
    <w:basedOn w:val="DefaultParagraphFont"/>
    <w:uiPriority w:val="22"/>
    <w:qFormat/>
    <w:rsid w:val="005F0BC2"/>
    <w:rPr>
      <w:b/>
      <w:bCs/>
    </w:rPr>
  </w:style>
  <w:style w:type="paragraph" w:styleId="ListParagraph">
    <w:name w:val="List Paragraph"/>
    <w:basedOn w:val="Normal"/>
    <w:uiPriority w:val="34"/>
    <w:qFormat/>
    <w:rsid w:val="00D42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storicengland.org.uk/listing/the-list/list-entry/110014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4298</Characters>
  <Application>Microsoft Office Word</Application>
  <DocSecurity>0</DocSecurity>
  <Lines>35</Lines>
  <Paragraphs>10</Paragraphs>
  <ScaleCrop>false</ScaleCrop>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Thompson</dc:creator>
  <cp:keywords/>
  <dc:description/>
  <cp:lastModifiedBy>Chris Thompson</cp:lastModifiedBy>
  <cp:revision>126</cp:revision>
  <dcterms:created xsi:type="dcterms:W3CDTF">2021-07-12T23:01:00Z</dcterms:created>
  <dcterms:modified xsi:type="dcterms:W3CDTF">2021-12-17T19:22:00Z</dcterms:modified>
</cp:coreProperties>
</file>