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E136" w14:textId="77777777" w:rsidR="00276150" w:rsidRDefault="00276150" w:rsidP="006B238F">
      <w:pPr>
        <w:tabs>
          <w:tab w:val="left" w:pos="8280"/>
        </w:tabs>
        <w:jc w:val="both"/>
        <w:rPr>
          <w:rFonts w:ascii="Arial" w:hAnsi="Arial" w:cs="Arial"/>
          <w:b/>
        </w:rPr>
      </w:pPr>
    </w:p>
    <w:p w14:paraId="7F38A9BB" w14:textId="77777777"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14:paraId="3BD47853" w14:textId="77777777" w:rsidR="00276150" w:rsidRDefault="00276150" w:rsidP="006B238F">
      <w:pPr>
        <w:tabs>
          <w:tab w:val="left" w:pos="8280"/>
        </w:tabs>
        <w:jc w:val="both"/>
        <w:rPr>
          <w:rFonts w:ascii="Arial" w:hAnsi="Arial" w:cs="Arial"/>
          <w:b/>
        </w:rPr>
      </w:pPr>
    </w:p>
    <w:p w14:paraId="6118D8B3" w14:textId="77777777" w:rsidR="008D3A2D" w:rsidRDefault="008D3A2D" w:rsidP="006B238F">
      <w:pPr>
        <w:tabs>
          <w:tab w:val="left" w:pos="8280"/>
        </w:tabs>
        <w:jc w:val="both"/>
        <w:rPr>
          <w:rFonts w:ascii="Arial" w:hAnsi="Arial" w:cs="Arial"/>
          <w:b/>
        </w:rPr>
      </w:pPr>
    </w:p>
    <w:tbl>
      <w:tblPr>
        <w:tblStyle w:val="TableGrid"/>
        <w:tblW w:w="0" w:type="auto"/>
        <w:tblLook w:val="04A0" w:firstRow="1" w:lastRow="0" w:firstColumn="1" w:lastColumn="0" w:noHBand="0" w:noVBand="1"/>
      </w:tblPr>
      <w:tblGrid>
        <w:gridCol w:w="3256"/>
        <w:gridCol w:w="6694"/>
      </w:tblGrid>
      <w:tr w:rsidR="009F4362" w14:paraId="3F9B3C6B" w14:textId="77777777" w:rsidTr="008D3A2D">
        <w:tc>
          <w:tcPr>
            <w:tcW w:w="3256" w:type="dxa"/>
          </w:tcPr>
          <w:p w14:paraId="113E2EFC" w14:textId="77777777" w:rsidR="009F4362" w:rsidRDefault="009F4362" w:rsidP="009F4362">
            <w:pPr>
              <w:tabs>
                <w:tab w:val="left" w:pos="8280"/>
              </w:tabs>
              <w:jc w:val="both"/>
              <w:rPr>
                <w:rFonts w:ascii="Arial" w:hAnsi="Arial" w:cs="Arial"/>
                <w:b/>
              </w:rPr>
            </w:pPr>
            <w:r>
              <w:rPr>
                <w:rFonts w:ascii="Arial" w:hAnsi="Arial" w:cs="Arial"/>
                <w:b/>
              </w:rPr>
              <w:t>Application Number</w:t>
            </w:r>
          </w:p>
        </w:tc>
        <w:tc>
          <w:tcPr>
            <w:tcW w:w="6694" w:type="dxa"/>
          </w:tcPr>
          <w:p w14:paraId="199D38DD" w14:textId="24D2D8D1" w:rsidR="009F4362" w:rsidRPr="00992F37" w:rsidRDefault="008C116E" w:rsidP="009F4362">
            <w:pPr>
              <w:tabs>
                <w:tab w:val="left" w:pos="8280"/>
              </w:tabs>
              <w:jc w:val="both"/>
              <w:rPr>
                <w:rFonts w:ascii="Arial" w:hAnsi="Arial" w:cs="Arial"/>
              </w:rPr>
            </w:pPr>
            <w:r>
              <w:rPr>
                <w:rFonts w:ascii="Lato" w:hAnsi="Lato"/>
                <w:color w:val="333333"/>
                <w:sz w:val="23"/>
                <w:szCs w:val="23"/>
                <w:shd w:val="clear" w:color="auto" w:fill="FFFFFF"/>
              </w:rPr>
              <w:t>PL/2022/00084/PPFL </w:t>
            </w:r>
          </w:p>
        </w:tc>
      </w:tr>
      <w:tr w:rsidR="009F4362" w14:paraId="11C866E7" w14:textId="77777777" w:rsidTr="008D3A2D">
        <w:tc>
          <w:tcPr>
            <w:tcW w:w="3256" w:type="dxa"/>
          </w:tcPr>
          <w:p w14:paraId="4169AF4F" w14:textId="77777777" w:rsidR="009F4362" w:rsidRDefault="009F4362" w:rsidP="009F4362">
            <w:pPr>
              <w:tabs>
                <w:tab w:val="left" w:pos="8280"/>
              </w:tabs>
              <w:jc w:val="both"/>
              <w:rPr>
                <w:rFonts w:ascii="Arial" w:hAnsi="Arial" w:cs="Arial"/>
                <w:b/>
              </w:rPr>
            </w:pPr>
            <w:r>
              <w:rPr>
                <w:rFonts w:ascii="Arial" w:hAnsi="Arial" w:cs="Arial"/>
                <w:b/>
              </w:rPr>
              <w:t>Address</w:t>
            </w:r>
          </w:p>
        </w:tc>
        <w:tc>
          <w:tcPr>
            <w:tcW w:w="6694" w:type="dxa"/>
          </w:tcPr>
          <w:p w14:paraId="0E774CC2" w14:textId="135A6671" w:rsidR="009F4362" w:rsidRDefault="008C116E" w:rsidP="008C116E">
            <w:pPr>
              <w:rPr>
                <w:rFonts w:ascii="Arial" w:hAnsi="Arial" w:cs="Arial"/>
                <w:b/>
              </w:rPr>
            </w:pPr>
            <w:r>
              <w:rPr>
                <w:rFonts w:ascii="Lato" w:hAnsi="Lato"/>
                <w:color w:val="333333"/>
                <w:sz w:val="23"/>
                <w:szCs w:val="23"/>
                <w:shd w:val="clear" w:color="auto" w:fill="FFFFFF"/>
              </w:rPr>
              <w:t xml:space="preserve">96 High Street Solihull Lodge B90 1JS  </w:t>
            </w:r>
          </w:p>
        </w:tc>
      </w:tr>
      <w:tr w:rsidR="009F4362" w14:paraId="416672C0" w14:textId="77777777" w:rsidTr="008D3A2D">
        <w:tc>
          <w:tcPr>
            <w:tcW w:w="3256" w:type="dxa"/>
          </w:tcPr>
          <w:p w14:paraId="502056C7" w14:textId="77777777" w:rsidR="009F4362" w:rsidRDefault="009F4362" w:rsidP="009F4362">
            <w:pPr>
              <w:tabs>
                <w:tab w:val="left" w:pos="8280"/>
              </w:tabs>
              <w:jc w:val="both"/>
              <w:rPr>
                <w:rFonts w:ascii="Arial" w:hAnsi="Arial" w:cs="Arial"/>
                <w:b/>
              </w:rPr>
            </w:pPr>
            <w:r>
              <w:rPr>
                <w:rFonts w:ascii="Arial" w:hAnsi="Arial" w:cs="Arial"/>
                <w:b/>
              </w:rPr>
              <w:t>Proposal</w:t>
            </w:r>
          </w:p>
        </w:tc>
        <w:tc>
          <w:tcPr>
            <w:tcW w:w="6694" w:type="dxa"/>
          </w:tcPr>
          <w:p w14:paraId="03ADE63D" w14:textId="2DB9F90F" w:rsidR="009F4362" w:rsidRDefault="008C116E" w:rsidP="0092339C">
            <w:pPr>
              <w:rPr>
                <w:rFonts w:ascii="Arial" w:hAnsi="Arial" w:cs="Arial"/>
                <w:b/>
              </w:rPr>
            </w:pPr>
            <w:r>
              <w:rPr>
                <w:rFonts w:ascii="Lato" w:hAnsi="Lato"/>
                <w:color w:val="333333"/>
                <w:sz w:val="23"/>
                <w:szCs w:val="23"/>
                <w:shd w:val="clear" w:color="auto" w:fill="FFFFFF"/>
              </w:rPr>
              <w:t>Redevelop petrol station &amp; convenience shop with a convenience shop.   | </w:t>
            </w:r>
          </w:p>
        </w:tc>
      </w:tr>
      <w:tr w:rsidR="009F4362" w14:paraId="47186345" w14:textId="77777777" w:rsidTr="008D3A2D">
        <w:tc>
          <w:tcPr>
            <w:tcW w:w="3256" w:type="dxa"/>
          </w:tcPr>
          <w:p w14:paraId="124CF942" w14:textId="77777777" w:rsidR="009F4362" w:rsidRDefault="009F4362" w:rsidP="009F4362">
            <w:pPr>
              <w:tabs>
                <w:tab w:val="left" w:pos="8280"/>
              </w:tabs>
              <w:jc w:val="both"/>
              <w:rPr>
                <w:rFonts w:ascii="Arial" w:hAnsi="Arial" w:cs="Arial"/>
                <w:b/>
              </w:rPr>
            </w:pPr>
            <w:r>
              <w:rPr>
                <w:rFonts w:ascii="Arial" w:hAnsi="Arial" w:cs="Arial"/>
                <w:b/>
              </w:rPr>
              <w:t>Case Officer</w:t>
            </w:r>
          </w:p>
        </w:tc>
        <w:tc>
          <w:tcPr>
            <w:tcW w:w="6694" w:type="dxa"/>
          </w:tcPr>
          <w:p w14:paraId="2E0313B9" w14:textId="022CA08A" w:rsidR="009F4362" w:rsidRPr="00A87CA2" w:rsidRDefault="00BD7F6C" w:rsidP="009F4362">
            <w:pPr>
              <w:tabs>
                <w:tab w:val="left" w:pos="8280"/>
              </w:tabs>
              <w:jc w:val="both"/>
              <w:rPr>
                <w:rFonts w:asciiTheme="minorHAnsi" w:hAnsiTheme="minorHAnsi" w:cstheme="minorHAnsi"/>
                <w:bCs/>
                <w:sz w:val="22"/>
                <w:szCs w:val="22"/>
              </w:rPr>
            </w:pPr>
            <w:r>
              <w:rPr>
                <w:rFonts w:asciiTheme="minorHAnsi" w:hAnsiTheme="minorHAnsi" w:cstheme="minorHAnsi"/>
                <w:bCs/>
                <w:sz w:val="22"/>
                <w:szCs w:val="22"/>
              </w:rPr>
              <w:t>BW</w:t>
            </w:r>
          </w:p>
        </w:tc>
      </w:tr>
    </w:tbl>
    <w:p w14:paraId="0DA5175A" w14:textId="77777777" w:rsidR="008D3A2D" w:rsidRPr="0074312D" w:rsidRDefault="008D3A2D" w:rsidP="006B238F">
      <w:pPr>
        <w:tabs>
          <w:tab w:val="left" w:pos="8280"/>
        </w:tabs>
        <w:jc w:val="both"/>
        <w:rPr>
          <w:rFonts w:ascii="Arial" w:hAnsi="Arial" w:cs="Arial"/>
          <w:b/>
        </w:rPr>
      </w:pPr>
    </w:p>
    <w:p w14:paraId="117D7D8A" w14:textId="77777777" w:rsidR="00416769" w:rsidRPr="0074312D" w:rsidRDefault="00416769"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74312D" w14:paraId="2F5E4E8F" w14:textId="77777777" w:rsidTr="008D3A2D">
        <w:tc>
          <w:tcPr>
            <w:tcW w:w="4248" w:type="dxa"/>
            <w:shd w:val="clear" w:color="auto" w:fill="auto"/>
          </w:tcPr>
          <w:p w14:paraId="1645C032" w14:textId="5A5E5F60" w:rsidR="008D3A2D" w:rsidRPr="0074312D" w:rsidRDefault="00635272" w:rsidP="004407A6">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Pr>
          <w:p w14:paraId="0CEB0653" w14:textId="50AAD9D5" w:rsidR="008D3A2D" w:rsidRPr="003F7041" w:rsidRDefault="00BD7F6C" w:rsidP="004407A6">
            <w:pPr>
              <w:tabs>
                <w:tab w:val="left" w:pos="8280"/>
              </w:tabs>
              <w:jc w:val="both"/>
              <w:rPr>
                <w:rFonts w:asciiTheme="minorHAnsi" w:hAnsiTheme="minorHAnsi" w:cstheme="minorHAnsi"/>
                <w:bCs/>
                <w:sz w:val="22"/>
                <w:szCs w:val="22"/>
              </w:rPr>
            </w:pPr>
            <w:r>
              <w:rPr>
                <w:rFonts w:asciiTheme="minorHAnsi" w:hAnsiTheme="minorHAnsi" w:cstheme="minorHAnsi"/>
                <w:bCs/>
                <w:sz w:val="22"/>
                <w:szCs w:val="22"/>
              </w:rPr>
              <w:t>28 Mar</w:t>
            </w:r>
          </w:p>
        </w:tc>
      </w:tr>
      <w:tr w:rsidR="008D3A2D" w:rsidRPr="0074312D" w14:paraId="3F44C36E" w14:textId="77777777" w:rsidTr="008D3A2D">
        <w:tc>
          <w:tcPr>
            <w:tcW w:w="4248" w:type="dxa"/>
            <w:shd w:val="clear" w:color="auto" w:fill="auto"/>
          </w:tcPr>
          <w:p w14:paraId="4FF88476" w14:textId="77777777" w:rsidR="008D3A2D" w:rsidRPr="0074312D" w:rsidRDefault="008D3A2D" w:rsidP="004407A6">
            <w:pPr>
              <w:tabs>
                <w:tab w:val="left" w:pos="8280"/>
              </w:tabs>
              <w:jc w:val="both"/>
              <w:rPr>
                <w:rFonts w:ascii="Arial" w:hAnsi="Arial" w:cs="Arial"/>
              </w:rPr>
            </w:pPr>
            <w:r>
              <w:rPr>
                <w:rFonts w:ascii="Arial" w:hAnsi="Arial" w:cs="Arial"/>
                <w:b/>
              </w:rPr>
              <w:t>Name of consultee department</w:t>
            </w:r>
          </w:p>
        </w:tc>
        <w:tc>
          <w:tcPr>
            <w:tcW w:w="5702" w:type="dxa"/>
          </w:tcPr>
          <w:p w14:paraId="0BFE8BC5" w14:textId="4F83A911" w:rsidR="008D3A2D" w:rsidRPr="003F7041" w:rsidRDefault="00327F88" w:rsidP="004407A6">
            <w:pPr>
              <w:tabs>
                <w:tab w:val="left" w:pos="8280"/>
              </w:tabs>
              <w:jc w:val="both"/>
              <w:rPr>
                <w:rFonts w:asciiTheme="minorHAnsi" w:hAnsiTheme="minorHAnsi" w:cstheme="minorHAnsi"/>
                <w:bCs/>
                <w:sz w:val="22"/>
                <w:szCs w:val="22"/>
              </w:rPr>
            </w:pPr>
            <w:r w:rsidRPr="003F7041">
              <w:rPr>
                <w:rFonts w:asciiTheme="minorHAnsi" w:hAnsiTheme="minorHAnsi" w:cstheme="minorHAnsi"/>
                <w:bCs/>
                <w:sz w:val="22"/>
                <w:szCs w:val="22"/>
              </w:rPr>
              <w:t>Policy &amp; Delivery</w:t>
            </w:r>
          </w:p>
        </w:tc>
      </w:tr>
      <w:tr w:rsidR="008D3A2D" w:rsidRPr="0074312D" w14:paraId="6CAE0AA2" w14:textId="77777777" w:rsidTr="008D3A2D">
        <w:tc>
          <w:tcPr>
            <w:tcW w:w="4248" w:type="dxa"/>
            <w:shd w:val="clear" w:color="auto" w:fill="auto"/>
          </w:tcPr>
          <w:p w14:paraId="4C0A3C03" w14:textId="77777777" w:rsidR="008D3A2D" w:rsidRPr="0074312D" w:rsidRDefault="008D3A2D" w:rsidP="004407A6">
            <w:pPr>
              <w:tabs>
                <w:tab w:val="left" w:pos="8280"/>
              </w:tabs>
              <w:jc w:val="both"/>
              <w:rPr>
                <w:rFonts w:ascii="Arial" w:hAnsi="Arial" w:cs="Arial"/>
                <w:b/>
              </w:rPr>
            </w:pPr>
            <w:r>
              <w:rPr>
                <w:rFonts w:ascii="Arial" w:hAnsi="Arial" w:cs="Arial"/>
                <w:b/>
              </w:rPr>
              <w:t>Consultation response author</w:t>
            </w:r>
          </w:p>
        </w:tc>
        <w:tc>
          <w:tcPr>
            <w:tcW w:w="5702" w:type="dxa"/>
          </w:tcPr>
          <w:p w14:paraId="3FAD0BE4" w14:textId="01124F73" w:rsidR="008D3A2D" w:rsidRPr="003F7041" w:rsidRDefault="00BD7F6C" w:rsidP="004407A6">
            <w:pPr>
              <w:tabs>
                <w:tab w:val="left" w:pos="8280"/>
              </w:tabs>
              <w:jc w:val="both"/>
              <w:rPr>
                <w:rFonts w:asciiTheme="minorHAnsi" w:hAnsiTheme="minorHAnsi" w:cstheme="minorHAnsi"/>
                <w:bCs/>
                <w:sz w:val="22"/>
                <w:szCs w:val="22"/>
              </w:rPr>
            </w:pPr>
            <w:r>
              <w:rPr>
                <w:rFonts w:asciiTheme="minorHAnsi" w:hAnsiTheme="minorHAnsi" w:cstheme="minorHAnsi"/>
                <w:bCs/>
                <w:sz w:val="22"/>
                <w:szCs w:val="22"/>
              </w:rPr>
              <w:t>MF</w:t>
            </w:r>
          </w:p>
        </w:tc>
      </w:tr>
    </w:tbl>
    <w:p w14:paraId="6BDADCC3" w14:textId="77777777" w:rsidR="00416769" w:rsidRDefault="00416769" w:rsidP="006B238F">
      <w:pPr>
        <w:tabs>
          <w:tab w:val="left" w:pos="8280"/>
        </w:tabs>
        <w:jc w:val="both"/>
        <w:rPr>
          <w:rFonts w:ascii="Arial" w:hAnsi="Arial" w:cs="Arial"/>
        </w:rPr>
      </w:pPr>
    </w:p>
    <w:p w14:paraId="4654250B" w14:textId="77777777" w:rsidR="008D3A2D" w:rsidRPr="0074312D" w:rsidRDefault="008D3A2D"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
        <w:gridCol w:w="5103"/>
        <w:gridCol w:w="596"/>
      </w:tblGrid>
      <w:tr w:rsidR="00416769" w:rsidRPr="0074312D" w14:paraId="6D19F6B4" w14:textId="77777777" w:rsidTr="00014286">
        <w:tc>
          <w:tcPr>
            <w:tcW w:w="4219" w:type="dxa"/>
            <w:gridSpan w:val="2"/>
            <w:shd w:val="clear" w:color="auto" w:fill="auto"/>
          </w:tcPr>
          <w:p w14:paraId="251DE8BF" w14:textId="77777777" w:rsidR="00416769" w:rsidRPr="0074312D" w:rsidRDefault="00416769" w:rsidP="004407A6">
            <w:pPr>
              <w:tabs>
                <w:tab w:val="left" w:pos="8280"/>
              </w:tabs>
              <w:jc w:val="both"/>
              <w:rPr>
                <w:rFonts w:ascii="Arial" w:hAnsi="Arial" w:cs="Arial"/>
              </w:rPr>
            </w:pPr>
            <w:r w:rsidRPr="0074312D">
              <w:rPr>
                <w:rFonts w:ascii="Arial" w:hAnsi="Arial" w:cs="Arial"/>
              </w:rPr>
              <w:t>No Comments</w:t>
            </w:r>
          </w:p>
        </w:tc>
        <w:tc>
          <w:tcPr>
            <w:tcW w:w="5699" w:type="dxa"/>
            <w:gridSpan w:val="2"/>
            <w:shd w:val="clear" w:color="auto" w:fill="auto"/>
          </w:tcPr>
          <w:p w14:paraId="0776A163" w14:textId="77777777" w:rsidR="00416769" w:rsidRPr="00DD276D" w:rsidRDefault="00416769" w:rsidP="6F0B6139">
            <w:pPr>
              <w:tabs>
                <w:tab w:val="left" w:pos="8280"/>
              </w:tabs>
              <w:jc w:val="both"/>
              <w:rPr>
                <w:rFonts w:ascii="Arial" w:hAnsi="Arial" w:cs="Arial"/>
                <w:b/>
                <w:bCs/>
                <w:color w:val="FF0000"/>
              </w:rPr>
            </w:pPr>
          </w:p>
        </w:tc>
      </w:tr>
      <w:tr w:rsidR="00416769" w:rsidRPr="0074312D" w14:paraId="3340D93A" w14:textId="77777777" w:rsidTr="00014286">
        <w:tc>
          <w:tcPr>
            <w:tcW w:w="4219" w:type="dxa"/>
            <w:gridSpan w:val="2"/>
            <w:shd w:val="clear" w:color="auto" w:fill="auto"/>
          </w:tcPr>
          <w:p w14:paraId="181A49E2" w14:textId="77777777" w:rsidR="00416769" w:rsidRPr="0074312D" w:rsidRDefault="00416769" w:rsidP="004407A6">
            <w:pPr>
              <w:tabs>
                <w:tab w:val="left" w:pos="8280"/>
              </w:tabs>
              <w:jc w:val="both"/>
              <w:rPr>
                <w:rFonts w:ascii="Arial" w:hAnsi="Arial" w:cs="Arial"/>
              </w:rPr>
            </w:pPr>
            <w:r w:rsidRPr="0074312D">
              <w:rPr>
                <w:rFonts w:ascii="Arial" w:hAnsi="Arial" w:cs="Arial"/>
              </w:rPr>
              <w:t>No Objection</w:t>
            </w:r>
          </w:p>
        </w:tc>
        <w:tc>
          <w:tcPr>
            <w:tcW w:w="5699" w:type="dxa"/>
            <w:gridSpan w:val="2"/>
            <w:shd w:val="clear" w:color="auto" w:fill="auto"/>
          </w:tcPr>
          <w:p w14:paraId="43912B8F" w14:textId="7E7E6008" w:rsidR="00416769" w:rsidRPr="00A87CA2" w:rsidRDefault="00416769" w:rsidP="00A87CA2">
            <w:pPr>
              <w:pStyle w:val="ListParagraph"/>
              <w:numPr>
                <w:ilvl w:val="0"/>
                <w:numId w:val="45"/>
              </w:numPr>
              <w:tabs>
                <w:tab w:val="left" w:pos="8280"/>
              </w:tabs>
              <w:rPr>
                <w:rFonts w:ascii="Arial" w:hAnsi="Arial" w:cs="Arial"/>
                <w:color w:val="FF0000"/>
              </w:rPr>
            </w:pPr>
          </w:p>
        </w:tc>
      </w:tr>
      <w:tr w:rsidR="00416769" w:rsidRPr="0074312D" w14:paraId="6648D8D8" w14:textId="77777777" w:rsidTr="00014286">
        <w:tc>
          <w:tcPr>
            <w:tcW w:w="4219" w:type="dxa"/>
            <w:gridSpan w:val="2"/>
            <w:shd w:val="clear" w:color="auto" w:fill="auto"/>
          </w:tcPr>
          <w:p w14:paraId="59DA5C76" w14:textId="77777777" w:rsidR="00416769" w:rsidRPr="0074312D" w:rsidRDefault="00416769" w:rsidP="004407A6">
            <w:pPr>
              <w:tabs>
                <w:tab w:val="left" w:pos="8280"/>
              </w:tabs>
              <w:jc w:val="both"/>
              <w:rPr>
                <w:rFonts w:ascii="Arial" w:hAnsi="Arial" w:cs="Arial"/>
              </w:rPr>
            </w:pPr>
            <w:r w:rsidRPr="0074312D">
              <w:rPr>
                <w:rFonts w:ascii="Arial" w:hAnsi="Arial" w:cs="Arial"/>
              </w:rPr>
              <w:t>No Objection Subject to Conditions</w:t>
            </w:r>
          </w:p>
        </w:tc>
        <w:tc>
          <w:tcPr>
            <w:tcW w:w="5699" w:type="dxa"/>
            <w:gridSpan w:val="2"/>
            <w:shd w:val="clear" w:color="auto" w:fill="auto"/>
          </w:tcPr>
          <w:p w14:paraId="291A0544" w14:textId="77777777" w:rsidR="00416769" w:rsidRPr="00DD276D" w:rsidRDefault="00416769" w:rsidP="6F0B6139">
            <w:pPr>
              <w:tabs>
                <w:tab w:val="left" w:pos="8280"/>
              </w:tabs>
              <w:jc w:val="both"/>
              <w:rPr>
                <w:rFonts w:ascii="Arial" w:hAnsi="Arial" w:cs="Arial"/>
                <w:b/>
                <w:bCs/>
                <w:color w:val="FF0000"/>
              </w:rPr>
            </w:pPr>
          </w:p>
        </w:tc>
      </w:tr>
      <w:tr w:rsidR="00416769" w:rsidRPr="0074312D" w14:paraId="41F3D604" w14:textId="77777777" w:rsidTr="00014286">
        <w:tc>
          <w:tcPr>
            <w:tcW w:w="4219" w:type="dxa"/>
            <w:gridSpan w:val="2"/>
            <w:shd w:val="clear" w:color="auto" w:fill="auto"/>
          </w:tcPr>
          <w:p w14:paraId="13B3B9D4" w14:textId="77777777" w:rsidR="00416769" w:rsidRPr="0074312D" w:rsidRDefault="00416769" w:rsidP="004407A6">
            <w:pPr>
              <w:tabs>
                <w:tab w:val="left" w:pos="8280"/>
              </w:tabs>
              <w:jc w:val="both"/>
              <w:rPr>
                <w:rFonts w:ascii="Arial" w:hAnsi="Arial" w:cs="Arial"/>
              </w:rPr>
            </w:pPr>
            <w:r w:rsidRPr="0074312D">
              <w:rPr>
                <w:rFonts w:ascii="Arial" w:hAnsi="Arial" w:cs="Arial"/>
              </w:rPr>
              <w:t>Objection</w:t>
            </w:r>
          </w:p>
        </w:tc>
        <w:tc>
          <w:tcPr>
            <w:tcW w:w="5699" w:type="dxa"/>
            <w:gridSpan w:val="2"/>
            <w:shd w:val="clear" w:color="auto" w:fill="auto"/>
          </w:tcPr>
          <w:p w14:paraId="70ECA7F2" w14:textId="37A3BA8C" w:rsidR="00416769" w:rsidRPr="008B7766" w:rsidRDefault="00416769" w:rsidP="008B7766">
            <w:pPr>
              <w:tabs>
                <w:tab w:val="left" w:pos="8280"/>
              </w:tabs>
              <w:jc w:val="both"/>
              <w:rPr>
                <w:rFonts w:ascii="Arial" w:hAnsi="Arial" w:cs="Arial"/>
                <w:color w:val="FF0000"/>
              </w:rPr>
            </w:pPr>
          </w:p>
        </w:tc>
      </w:tr>
      <w:tr w:rsidR="00416769" w:rsidRPr="0074312D" w14:paraId="5F9D6342" w14:textId="77777777" w:rsidTr="00014286">
        <w:tc>
          <w:tcPr>
            <w:tcW w:w="4219" w:type="dxa"/>
            <w:gridSpan w:val="2"/>
            <w:shd w:val="clear" w:color="auto" w:fill="auto"/>
          </w:tcPr>
          <w:p w14:paraId="42662EE5" w14:textId="77777777" w:rsidR="00416769" w:rsidRPr="0074312D" w:rsidRDefault="00416769" w:rsidP="004407A6">
            <w:pPr>
              <w:tabs>
                <w:tab w:val="left" w:pos="8280"/>
              </w:tabs>
              <w:jc w:val="both"/>
              <w:rPr>
                <w:rFonts w:ascii="Arial" w:hAnsi="Arial" w:cs="Arial"/>
              </w:rPr>
            </w:pPr>
            <w:r w:rsidRPr="0074312D">
              <w:rPr>
                <w:rFonts w:ascii="Arial" w:hAnsi="Arial" w:cs="Arial"/>
              </w:rPr>
              <w:t>Further information Requested</w:t>
            </w:r>
          </w:p>
        </w:tc>
        <w:tc>
          <w:tcPr>
            <w:tcW w:w="5699" w:type="dxa"/>
            <w:gridSpan w:val="2"/>
            <w:shd w:val="clear" w:color="auto" w:fill="auto"/>
          </w:tcPr>
          <w:p w14:paraId="6521E00E" w14:textId="77777777" w:rsidR="00416769" w:rsidRPr="00DD276D" w:rsidRDefault="00416769" w:rsidP="6F0B6139">
            <w:pPr>
              <w:tabs>
                <w:tab w:val="left" w:pos="8280"/>
              </w:tabs>
              <w:jc w:val="both"/>
              <w:rPr>
                <w:rFonts w:ascii="Arial" w:hAnsi="Arial" w:cs="Arial"/>
                <w:b/>
                <w:bCs/>
                <w:color w:val="FF0000"/>
              </w:rPr>
            </w:pPr>
          </w:p>
        </w:tc>
      </w:tr>
      <w:tr w:rsidR="00014286" w:rsidRPr="0074312D" w14:paraId="12FE8D31" w14:textId="77777777" w:rsidTr="00014286">
        <w:tc>
          <w:tcPr>
            <w:tcW w:w="4219" w:type="dxa"/>
            <w:gridSpan w:val="2"/>
            <w:shd w:val="clear" w:color="auto" w:fill="auto"/>
          </w:tcPr>
          <w:p w14:paraId="6D6F1C96" w14:textId="457A4E8E" w:rsidR="00014286" w:rsidRPr="0074312D" w:rsidRDefault="00014286" w:rsidP="004407A6">
            <w:pPr>
              <w:tabs>
                <w:tab w:val="left" w:pos="8280"/>
              </w:tabs>
              <w:jc w:val="both"/>
              <w:rPr>
                <w:rFonts w:ascii="Arial" w:hAnsi="Arial" w:cs="Arial"/>
              </w:rPr>
            </w:pPr>
            <w:r>
              <w:rPr>
                <w:rFonts w:ascii="Arial" w:hAnsi="Arial" w:cs="Arial"/>
              </w:rPr>
              <w:t>PREAPC</w:t>
            </w:r>
          </w:p>
        </w:tc>
        <w:tc>
          <w:tcPr>
            <w:tcW w:w="5699" w:type="dxa"/>
            <w:gridSpan w:val="2"/>
            <w:shd w:val="clear" w:color="auto" w:fill="auto"/>
          </w:tcPr>
          <w:p w14:paraId="5AA8A63E" w14:textId="77777777" w:rsidR="00014286" w:rsidRPr="008B7766" w:rsidRDefault="00014286" w:rsidP="00A92529">
            <w:pPr>
              <w:pStyle w:val="ListParagraph"/>
              <w:tabs>
                <w:tab w:val="left" w:pos="8280"/>
              </w:tabs>
              <w:ind w:left="2880"/>
              <w:jc w:val="both"/>
              <w:rPr>
                <w:rFonts w:ascii="Arial" w:hAnsi="Arial" w:cs="Arial"/>
                <w:b/>
                <w:bCs/>
                <w:color w:val="FF0000"/>
              </w:rPr>
            </w:pPr>
          </w:p>
        </w:tc>
      </w:tr>
      <w:tr w:rsidR="006625FB" w:rsidRPr="0074312D" w14:paraId="765CCE1E" w14:textId="77777777" w:rsidTr="36426CD8">
        <w:trPr>
          <w:gridAfter w:val="1"/>
          <w:wAfter w:w="596" w:type="dxa"/>
          <w:trHeight w:val="271"/>
        </w:trPr>
        <w:tc>
          <w:tcPr>
            <w:tcW w:w="9322" w:type="dxa"/>
            <w:gridSpan w:val="3"/>
            <w:tcBorders>
              <w:top w:val="nil"/>
              <w:left w:val="nil"/>
              <w:bottom w:val="single" w:sz="4" w:space="0" w:color="auto"/>
              <w:right w:val="nil"/>
            </w:tcBorders>
            <w:shd w:val="clear" w:color="auto" w:fill="auto"/>
          </w:tcPr>
          <w:p w14:paraId="33F5C394" w14:textId="77777777" w:rsidR="006625FB" w:rsidRPr="0074312D" w:rsidRDefault="006625FB" w:rsidP="004407A6">
            <w:pPr>
              <w:tabs>
                <w:tab w:val="left" w:pos="8280"/>
              </w:tabs>
              <w:jc w:val="both"/>
              <w:rPr>
                <w:rFonts w:ascii="Arial" w:hAnsi="Arial" w:cs="Arial"/>
                <w:b/>
                <w:sz w:val="22"/>
                <w:szCs w:val="22"/>
              </w:rPr>
            </w:pPr>
          </w:p>
        </w:tc>
      </w:tr>
      <w:tr w:rsidR="00416769" w:rsidRPr="006625FB" w14:paraId="72EA26D7" w14:textId="77777777" w:rsidTr="36426CD8">
        <w:trPr>
          <w:gridAfter w:val="1"/>
          <w:wAfter w:w="596" w:type="dxa"/>
          <w:trHeight w:val="271"/>
        </w:trPr>
        <w:tc>
          <w:tcPr>
            <w:tcW w:w="9322" w:type="dxa"/>
            <w:gridSpan w:val="3"/>
            <w:tcBorders>
              <w:top w:val="single" w:sz="4" w:space="0" w:color="auto"/>
            </w:tcBorders>
            <w:shd w:val="clear" w:color="auto" w:fill="D9D9D9" w:themeFill="background1" w:themeFillShade="D9"/>
          </w:tcPr>
          <w:p w14:paraId="615C4E6E" w14:textId="77777777" w:rsidR="00416769" w:rsidRDefault="00416769" w:rsidP="004407A6">
            <w:pPr>
              <w:tabs>
                <w:tab w:val="left" w:pos="8280"/>
              </w:tabs>
              <w:jc w:val="both"/>
              <w:rPr>
                <w:rFonts w:ascii="Arial" w:hAnsi="Arial" w:cs="Arial"/>
                <w:b/>
              </w:rPr>
            </w:pPr>
            <w:r w:rsidRPr="006625FB">
              <w:rPr>
                <w:rFonts w:ascii="Arial" w:hAnsi="Arial" w:cs="Arial"/>
                <w:b/>
              </w:rPr>
              <w:t>Comments</w:t>
            </w:r>
            <w:r w:rsidR="00250718">
              <w:rPr>
                <w:rFonts w:ascii="Arial" w:hAnsi="Arial" w:cs="Arial"/>
                <w:b/>
              </w:rPr>
              <w:t>:</w:t>
            </w:r>
            <w:r w:rsidRPr="006625FB">
              <w:rPr>
                <w:rFonts w:ascii="Arial" w:hAnsi="Arial" w:cs="Arial"/>
                <w:b/>
              </w:rPr>
              <w:t xml:space="preserve"> </w:t>
            </w:r>
          </w:p>
          <w:p w14:paraId="2D39C3C7" w14:textId="77777777" w:rsidR="006625FB" w:rsidRPr="006625FB" w:rsidRDefault="6F0B6139" w:rsidP="6F0B6139">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14:paraId="1C187FC3" w14:textId="77777777" w:rsidR="006625FB" w:rsidRPr="006625FB" w:rsidRDefault="006625FB" w:rsidP="6F0B6139">
            <w:pPr>
              <w:tabs>
                <w:tab w:val="left" w:pos="8280"/>
              </w:tabs>
              <w:jc w:val="both"/>
              <w:rPr>
                <w:rFonts w:ascii="Arial" w:hAnsi="Arial" w:cs="Arial"/>
                <w:sz w:val="20"/>
                <w:szCs w:val="20"/>
              </w:rPr>
            </w:pPr>
          </w:p>
        </w:tc>
      </w:tr>
      <w:tr w:rsidR="00416769" w:rsidRPr="006625FB" w14:paraId="21B64224" w14:textId="77777777" w:rsidTr="36426CD8">
        <w:trPr>
          <w:gridAfter w:val="1"/>
          <w:wAfter w:w="596" w:type="dxa"/>
          <w:trHeight w:val="1245"/>
        </w:trPr>
        <w:tc>
          <w:tcPr>
            <w:tcW w:w="9322" w:type="dxa"/>
            <w:gridSpan w:val="3"/>
            <w:shd w:val="clear" w:color="auto" w:fill="FFFFFF" w:themeFill="background1"/>
          </w:tcPr>
          <w:p w14:paraId="7A458557" w14:textId="77777777" w:rsidR="008C116E" w:rsidRDefault="008C116E" w:rsidP="008C116E">
            <w:pPr>
              <w:rPr>
                <w:rFonts w:ascii="Lato" w:hAnsi="Lato"/>
                <w:b/>
                <w:bCs/>
                <w:color w:val="333333"/>
                <w:sz w:val="23"/>
                <w:szCs w:val="23"/>
                <w:shd w:val="clear" w:color="auto" w:fill="FFFFFF"/>
              </w:rPr>
            </w:pPr>
            <w:r>
              <w:rPr>
                <w:rFonts w:ascii="Lato" w:hAnsi="Lato"/>
                <w:b/>
                <w:bCs/>
                <w:color w:val="333333"/>
                <w:sz w:val="23"/>
                <w:szCs w:val="23"/>
                <w:shd w:val="clear" w:color="auto" w:fill="FFFFFF"/>
              </w:rPr>
              <w:t>NPPF</w:t>
            </w:r>
          </w:p>
          <w:p w14:paraId="581961B3" w14:textId="77777777" w:rsidR="008C116E" w:rsidRDefault="008C116E" w:rsidP="008C116E">
            <w:pPr>
              <w:pStyle w:val="NoSpacing"/>
              <w:rPr>
                <w:rFonts w:cstheme="minorHAnsi"/>
              </w:rPr>
            </w:pPr>
            <w:r>
              <w:rPr>
                <w:rFonts w:cstheme="minorHAnsi"/>
              </w:rPr>
              <w:t xml:space="preserve">7) The purpose of the planning system is to contribute to achieving sustainable development. A ‘very high level’ summary of sustainable development is provided – meeting the needs of the present without compromising the ability of future generations to meet their own needs. Also, reference is made to UK agreement to pursue the ‘17 Global Goals for Sustainable Development’ to 2030, that address social progress, economic </w:t>
            </w:r>
            <w:proofErr w:type="gramStart"/>
            <w:r>
              <w:rPr>
                <w:rFonts w:cstheme="minorHAnsi"/>
              </w:rPr>
              <w:t>well-being</w:t>
            </w:r>
            <w:proofErr w:type="gramEnd"/>
            <w:r>
              <w:rPr>
                <w:rFonts w:cstheme="minorHAnsi"/>
              </w:rPr>
              <w:t xml:space="preserve"> and environmental protection.  </w:t>
            </w:r>
          </w:p>
          <w:p w14:paraId="60C5FD0C" w14:textId="77777777" w:rsidR="008C116E" w:rsidRDefault="008C116E" w:rsidP="008C116E">
            <w:pPr>
              <w:pStyle w:val="NoSpacing"/>
              <w:rPr>
                <w:rFonts w:cstheme="minorHAnsi"/>
              </w:rPr>
            </w:pPr>
          </w:p>
          <w:p w14:paraId="26899A37" w14:textId="77777777" w:rsidR="008C116E" w:rsidRDefault="008C116E" w:rsidP="008C116E">
            <w:pPr>
              <w:pStyle w:val="NoSpacing"/>
              <w:rPr>
                <w:rFonts w:cstheme="minorHAnsi"/>
              </w:rPr>
            </w:pPr>
            <w:r>
              <w:rPr>
                <w:rFonts w:cstheme="minorHAnsi"/>
              </w:rPr>
              <w:t>8) 3 overarching objectives of the planning system, linked to sustainable development, are provided:</w:t>
            </w:r>
          </w:p>
          <w:p w14:paraId="07EDF631" w14:textId="77777777" w:rsidR="008C116E" w:rsidRDefault="008C116E" w:rsidP="008C116E">
            <w:pPr>
              <w:pStyle w:val="NoSpacing"/>
              <w:numPr>
                <w:ilvl w:val="0"/>
                <w:numId w:val="47"/>
              </w:numPr>
              <w:ind w:left="567" w:hanging="283"/>
              <w:rPr>
                <w:lang w:val="en"/>
              </w:rPr>
            </w:pPr>
            <w:r>
              <w:rPr>
                <w:rFonts w:cstheme="minorHAnsi"/>
                <w:color w:val="333333"/>
                <w:lang w:val="en"/>
              </w:rPr>
              <w:t xml:space="preserve">Economic – this seeks to create a strong, responsive, competitive economy supported by necessary infrastructure.  </w:t>
            </w:r>
          </w:p>
          <w:p w14:paraId="4F0A70D8" w14:textId="77777777" w:rsidR="008C116E" w:rsidRDefault="008C116E" w:rsidP="008C116E">
            <w:pPr>
              <w:pStyle w:val="NoSpacing"/>
              <w:numPr>
                <w:ilvl w:val="0"/>
                <w:numId w:val="47"/>
              </w:numPr>
              <w:ind w:left="567" w:hanging="283"/>
              <w:rPr>
                <w:rFonts w:cstheme="minorHAnsi"/>
                <w:color w:val="333333"/>
                <w:lang w:val="en"/>
              </w:rPr>
            </w:pPr>
            <w:r>
              <w:rPr>
                <w:rFonts w:cstheme="minorHAnsi"/>
                <w:color w:val="333333"/>
                <w:lang w:val="en"/>
              </w:rPr>
              <w:t>Social – this is about supporting strong vibrant, healthy communities in a well-designed safe built environment with appropriate accessible services and open spaces.</w:t>
            </w:r>
          </w:p>
          <w:p w14:paraId="5E97ED67" w14:textId="77777777" w:rsidR="008C116E" w:rsidRDefault="008C116E" w:rsidP="008C116E">
            <w:pPr>
              <w:pStyle w:val="ListParagraph"/>
              <w:numPr>
                <w:ilvl w:val="0"/>
                <w:numId w:val="47"/>
              </w:numPr>
              <w:ind w:left="567" w:hanging="283"/>
              <w:rPr>
                <w:rFonts w:cstheme="minorHAnsi"/>
              </w:rPr>
            </w:pPr>
            <w:r>
              <w:rPr>
                <w:rFonts w:cstheme="minorHAnsi"/>
                <w:color w:val="333333"/>
                <w:lang w:val="en"/>
              </w:rPr>
              <w:t xml:space="preserve">Environmental – this seeks to protect and enhance the natural, </w:t>
            </w:r>
            <w:proofErr w:type="gramStart"/>
            <w:r>
              <w:rPr>
                <w:rFonts w:cstheme="minorHAnsi"/>
                <w:color w:val="333333"/>
                <w:lang w:val="en"/>
              </w:rPr>
              <w:t>built</w:t>
            </w:r>
            <w:proofErr w:type="gramEnd"/>
            <w:r>
              <w:rPr>
                <w:rFonts w:cstheme="minorHAnsi"/>
                <w:color w:val="333333"/>
                <w:lang w:val="en"/>
              </w:rPr>
              <w:t xml:space="preserve"> and historic environment.</w:t>
            </w:r>
          </w:p>
          <w:p w14:paraId="057B6795" w14:textId="77777777" w:rsidR="008C116E" w:rsidRDefault="008C116E" w:rsidP="008C116E">
            <w:pPr>
              <w:pStyle w:val="NoSpacing"/>
              <w:ind w:left="567"/>
              <w:rPr>
                <w:rFonts w:cstheme="minorHAnsi"/>
                <w:color w:val="333333"/>
                <w:lang w:val="en"/>
              </w:rPr>
            </w:pPr>
          </w:p>
          <w:p w14:paraId="6A416677" w14:textId="77777777" w:rsidR="008C116E" w:rsidRDefault="008C116E" w:rsidP="008C116E">
            <w:pPr>
              <w:rPr>
                <w:rFonts w:cstheme="minorHAnsi"/>
              </w:rPr>
            </w:pPr>
            <w:r>
              <w:rPr>
                <w:rFonts w:cstheme="minorHAnsi"/>
              </w:rPr>
              <w:t xml:space="preserve">11) The NPPF presumes in favour of Sustainable Development (as does para. 10 – but see footnote 7 </w:t>
            </w:r>
            <w:proofErr w:type="gramStart"/>
            <w:r>
              <w:rPr>
                <w:rFonts w:cstheme="minorHAnsi"/>
              </w:rPr>
              <w:t>in regard to</w:t>
            </w:r>
            <w:proofErr w:type="gramEnd"/>
            <w:r>
              <w:rPr>
                <w:rFonts w:cstheme="minorHAnsi"/>
              </w:rPr>
              <w:t xml:space="preserve"> any development in the green belt).</w:t>
            </w:r>
          </w:p>
          <w:p w14:paraId="6A04CAEE" w14:textId="77777777" w:rsidR="008C116E" w:rsidRDefault="008C116E" w:rsidP="008C116E">
            <w:pPr>
              <w:rPr>
                <w:rFonts w:ascii="Lato" w:hAnsi="Lato" w:cstheme="minorBidi"/>
                <w:color w:val="333333"/>
                <w:sz w:val="23"/>
                <w:szCs w:val="23"/>
                <w:shd w:val="clear" w:color="auto" w:fill="FFFFFF"/>
              </w:rPr>
            </w:pPr>
          </w:p>
          <w:p w14:paraId="54E9F549" w14:textId="77777777" w:rsidR="008C116E" w:rsidRDefault="008C116E" w:rsidP="008C116E">
            <w:pPr>
              <w:pStyle w:val="NoSpacing"/>
              <w:rPr>
                <w:color w:val="333333"/>
              </w:rPr>
            </w:pPr>
            <w:r>
              <w:rPr>
                <w:color w:val="333333"/>
              </w:rPr>
              <w:t xml:space="preserve">80) Planning policies and decisions should help to create conditions in which business can invest, </w:t>
            </w:r>
            <w:proofErr w:type="gramStart"/>
            <w:r>
              <w:rPr>
                <w:color w:val="333333"/>
              </w:rPr>
              <w:t>expand</w:t>
            </w:r>
            <w:proofErr w:type="gramEnd"/>
            <w:r>
              <w:rPr>
                <w:color w:val="333333"/>
              </w:rPr>
              <w:t xml:space="preserve"> and adapt. Significant weight should be given to the need to support economic growth and productivity, taking account of local business needs and wider opportunities for development. </w:t>
            </w:r>
          </w:p>
          <w:p w14:paraId="2E73CFC8" w14:textId="77777777" w:rsidR="008C116E" w:rsidRDefault="008C116E" w:rsidP="008C116E">
            <w:pPr>
              <w:pStyle w:val="NoSpacing"/>
              <w:rPr>
                <w:color w:val="333333"/>
              </w:rPr>
            </w:pPr>
          </w:p>
          <w:p w14:paraId="2BF6F277" w14:textId="77777777" w:rsidR="008C116E" w:rsidRDefault="008C116E" w:rsidP="008C116E">
            <w:pPr>
              <w:rPr>
                <w:lang w:val="en"/>
              </w:rPr>
            </w:pPr>
            <w:r>
              <w:rPr>
                <w:rFonts w:cs="Arial"/>
              </w:rPr>
              <w:t xml:space="preserve">86) Planning policies and decisions should support the role of town centres at the heart of local communities, by taking a positive approach to their growth, </w:t>
            </w:r>
            <w:proofErr w:type="gramStart"/>
            <w:r>
              <w:rPr>
                <w:rFonts w:cs="Arial"/>
              </w:rPr>
              <w:t>management</w:t>
            </w:r>
            <w:proofErr w:type="gramEnd"/>
            <w:r>
              <w:rPr>
                <w:rFonts w:cs="Arial"/>
              </w:rPr>
              <w:t xml:space="preserve"> and adaptation. </w:t>
            </w:r>
          </w:p>
          <w:p w14:paraId="3BC08BA8" w14:textId="77777777" w:rsidR="008C116E" w:rsidRDefault="008C116E" w:rsidP="008C116E">
            <w:pPr>
              <w:rPr>
                <w:lang w:val="en"/>
              </w:rPr>
            </w:pPr>
          </w:p>
          <w:p w14:paraId="64BA905C" w14:textId="77777777" w:rsidR="008C116E" w:rsidRDefault="008C116E" w:rsidP="008C116E">
            <w:pPr>
              <w:rPr>
                <w:lang w:val="en"/>
              </w:rPr>
            </w:pPr>
            <w:r>
              <w:rPr>
                <w:lang w:val="en"/>
              </w:rPr>
              <w:t xml:space="preserve">87). The sequential test is required for applications for main town centers uses that are not within a </w:t>
            </w:r>
            <w:proofErr w:type="spellStart"/>
            <w:r>
              <w:rPr>
                <w:lang w:val="en"/>
              </w:rPr>
              <w:t>centre</w:t>
            </w:r>
            <w:proofErr w:type="spellEnd"/>
            <w:r>
              <w:rPr>
                <w:lang w:val="en"/>
              </w:rPr>
              <w:t xml:space="preserve">.  The term town </w:t>
            </w:r>
            <w:proofErr w:type="spellStart"/>
            <w:r>
              <w:rPr>
                <w:lang w:val="en"/>
              </w:rPr>
              <w:t>centre</w:t>
            </w:r>
            <w:proofErr w:type="spellEnd"/>
            <w:r>
              <w:rPr>
                <w:lang w:val="en"/>
              </w:rPr>
              <w:t xml:space="preserve"> includes local </w:t>
            </w:r>
            <w:proofErr w:type="spellStart"/>
            <w:r>
              <w:rPr>
                <w:lang w:val="en"/>
              </w:rPr>
              <w:t>centres</w:t>
            </w:r>
            <w:proofErr w:type="spellEnd"/>
            <w:r>
              <w:rPr>
                <w:lang w:val="en"/>
              </w:rPr>
              <w:t xml:space="preserve"> (NPPF page 73). Main town </w:t>
            </w:r>
            <w:proofErr w:type="spellStart"/>
            <w:r>
              <w:rPr>
                <w:lang w:val="en"/>
              </w:rPr>
              <w:lastRenderedPageBreak/>
              <w:t>centre</w:t>
            </w:r>
            <w:proofErr w:type="spellEnd"/>
            <w:r>
              <w:rPr>
                <w:lang w:val="en"/>
              </w:rPr>
              <w:t xml:space="preserve"> uses should be located within town </w:t>
            </w:r>
            <w:proofErr w:type="spellStart"/>
            <w:r>
              <w:rPr>
                <w:lang w:val="en"/>
              </w:rPr>
              <w:t>centres</w:t>
            </w:r>
            <w:proofErr w:type="spellEnd"/>
            <w:r>
              <w:rPr>
                <w:lang w:val="en"/>
              </w:rPr>
              <w:t xml:space="preserve">, then edge of </w:t>
            </w:r>
            <w:proofErr w:type="spellStart"/>
            <w:r>
              <w:rPr>
                <w:lang w:val="en"/>
              </w:rPr>
              <w:t>centre</w:t>
            </w:r>
            <w:proofErr w:type="spellEnd"/>
            <w:r>
              <w:rPr>
                <w:lang w:val="en"/>
              </w:rPr>
              <w:t xml:space="preserve"> locations and only if suitable sites are unavailable should out of </w:t>
            </w:r>
            <w:proofErr w:type="spellStart"/>
            <w:r>
              <w:rPr>
                <w:lang w:val="en"/>
              </w:rPr>
              <w:t>centre</w:t>
            </w:r>
            <w:proofErr w:type="spellEnd"/>
            <w:r>
              <w:rPr>
                <w:lang w:val="en"/>
              </w:rPr>
              <w:t xml:space="preserve"> sites be considered.  </w:t>
            </w:r>
          </w:p>
          <w:p w14:paraId="6440FB93" w14:textId="77777777" w:rsidR="008C116E" w:rsidRDefault="008C116E" w:rsidP="008C116E">
            <w:pPr>
              <w:rPr>
                <w:lang w:val="en"/>
              </w:rPr>
            </w:pPr>
          </w:p>
          <w:p w14:paraId="2C0034A8" w14:textId="77777777" w:rsidR="008C116E" w:rsidRDefault="008C116E" w:rsidP="008C116E">
            <w:pPr>
              <w:rPr>
                <w:rStyle w:val="casenumber"/>
              </w:rPr>
            </w:pPr>
            <w:r>
              <w:rPr>
                <w:rStyle w:val="casenumber"/>
                <w:lang w:val="en"/>
              </w:rPr>
              <w:t xml:space="preserve">122) Planning policies and decisions should support the efficient use of land. </w:t>
            </w:r>
            <w:proofErr w:type="gramStart"/>
            <w:r>
              <w:rPr>
                <w:rStyle w:val="casenumber"/>
                <w:lang w:val="en"/>
              </w:rPr>
              <w:t>A number of</w:t>
            </w:r>
            <w:proofErr w:type="gramEnd"/>
            <w:r>
              <w:rPr>
                <w:rStyle w:val="casenumber"/>
                <w:lang w:val="en"/>
              </w:rPr>
              <w:t xml:space="preserve"> considerations are listed that include the importance of well designed, attractive and healthy places. </w:t>
            </w:r>
          </w:p>
          <w:p w14:paraId="1EF0ED58" w14:textId="77777777" w:rsidR="008C116E" w:rsidRDefault="008C116E" w:rsidP="008C116E">
            <w:pPr>
              <w:rPr>
                <w:rStyle w:val="casenumber"/>
                <w:lang w:val="en"/>
              </w:rPr>
            </w:pPr>
          </w:p>
          <w:p w14:paraId="1BCE1A6B" w14:textId="77777777" w:rsidR="008C116E" w:rsidRDefault="008C116E" w:rsidP="008C116E">
            <w:pPr>
              <w:rPr>
                <w:rFonts w:ascii="Calibri" w:hAnsi="Calibri" w:cs="Arial"/>
              </w:rPr>
            </w:pPr>
            <w:r>
              <w:rPr>
                <w:rFonts w:ascii="Calibri" w:hAnsi="Calibri" w:cs="Arial"/>
              </w:rPr>
              <w:t>126) The NPPF deals with design in section 12. The creation of high-quality buildings and places is fundamental to the planning and development process. Good design is a key aspect of sustainable development, creates better places in which to live and work and helps make development acceptable to communities.</w:t>
            </w:r>
          </w:p>
          <w:p w14:paraId="4CD83F5B" w14:textId="77777777" w:rsidR="008C116E" w:rsidRDefault="008C116E" w:rsidP="008C116E">
            <w:pPr>
              <w:rPr>
                <w:rFonts w:asciiTheme="minorHAnsi" w:hAnsiTheme="minorHAnsi" w:cs="Arial"/>
              </w:rPr>
            </w:pPr>
          </w:p>
          <w:p w14:paraId="1F0360A6" w14:textId="77777777" w:rsidR="008C116E" w:rsidRDefault="008C116E" w:rsidP="008C116E">
            <w:pPr>
              <w:rPr>
                <w:rFonts w:cs="Arial"/>
              </w:rPr>
            </w:pPr>
            <w:r>
              <w:rPr>
                <w:rFonts w:cs="Arial"/>
              </w:rPr>
              <w:t xml:space="preserve">130 a-f) Lists </w:t>
            </w:r>
            <w:proofErr w:type="gramStart"/>
            <w:r>
              <w:rPr>
                <w:rFonts w:cs="Arial"/>
              </w:rPr>
              <w:t>a number of</w:t>
            </w:r>
            <w:proofErr w:type="gramEnd"/>
            <w:r>
              <w:rPr>
                <w:rFonts w:cs="Arial"/>
              </w:rPr>
              <w:t xml:space="preserve"> design related requirements of development proposals, including that they should function well and add to the quality of the area and are visually attractive through architecture, layout and landscaping. Planning should also establish and maintain a strong sense of place using the arrangements of streets, spaces, </w:t>
            </w:r>
            <w:proofErr w:type="gramStart"/>
            <w:r>
              <w:rPr>
                <w:rFonts w:cs="Arial"/>
              </w:rPr>
              <w:t>buildings</w:t>
            </w:r>
            <w:proofErr w:type="gramEnd"/>
            <w:r>
              <w:rPr>
                <w:rFonts w:cs="Arial"/>
              </w:rPr>
              <w:t xml:space="preserve"> types and materials to create attractive, welcoming and distinctive places to live, work and visit and amenity should be of a high standard for existing and future users.</w:t>
            </w:r>
          </w:p>
          <w:p w14:paraId="5F9F8AEF" w14:textId="77777777" w:rsidR="008C116E" w:rsidRDefault="008C116E" w:rsidP="008C116E">
            <w:pPr>
              <w:shd w:val="clear" w:color="auto" w:fill="FFFFFF"/>
              <w:rPr>
                <w:rFonts w:cstheme="minorHAnsi"/>
                <w:color w:val="333333"/>
                <w:lang w:val="en" w:eastAsia="en-GB"/>
              </w:rPr>
            </w:pPr>
          </w:p>
          <w:p w14:paraId="06A1C95F" w14:textId="77777777" w:rsidR="008C116E" w:rsidRDefault="008C116E" w:rsidP="008C116E">
            <w:pPr>
              <w:rPr>
                <w:rFonts w:eastAsiaTheme="minorHAnsi" w:cs="Arial"/>
              </w:rPr>
            </w:pPr>
            <w:r>
              <w:rPr>
                <w:rFonts w:cs="Arial"/>
              </w:rPr>
              <w:t xml:space="preserve">134) Development that is not well designed should be refused, especially if it fails to reflect local design policies and government guidance on design (in the code and design reference in footnote 52). Significant weight should be given to developments that do reflect local design policies and government guidance </w:t>
            </w:r>
            <w:proofErr w:type="gramStart"/>
            <w:r>
              <w:rPr>
                <w:rFonts w:cs="Arial"/>
              </w:rPr>
              <w:t>and also</w:t>
            </w:r>
            <w:proofErr w:type="gramEnd"/>
            <w:r>
              <w:rPr>
                <w:rFonts w:cs="Arial"/>
              </w:rPr>
              <w:t xml:space="preserve"> to outstanding designs (as referenced in 134a &amp; 134b).</w:t>
            </w:r>
          </w:p>
          <w:p w14:paraId="07B6ED20" w14:textId="77777777" w:rsidR="008C116E" w:rsidRDefault="008C116E" w:rsidP="008C116E">
            <w:pPr>
              <w:rPr>
                <w:rFonts w:ascii="Lato" w:hAnsi="Lato" w:cstheme="minorBidi"/>
                <w:color w:val="333333"/>
                <w:sz w:val="23"/>
                <w:szCs w:val="23"/>
                <w:shd w:val="clear" w:color="auto" w:fill="FFFFFF"/>
              </w:rPr>
            </w:pPr>
          </w:p>
          <w:p w14:paraId="0FB38D2A" w14:textId="77777777" w:rsidR="008C116E" w:rsidRDefault="008C116E" w:rsidP="008C116E">
            <w:pPr>
              <w:rPr>
                <w:rFonts w:asciiTheme="minorHAnsi" w:hAnsiTheme="minorHAnsi" w:cs="Arial"/>
                <w:b/>
                <w:bCs/>
                <w:sz w:val="22"/>
                <w:szCs w:val="22"/>
              </w:rPr>
            </w:pPr>
            <w:r>
              <w:rPr>
                <w:rFonts w:cs="Arial"/>
                <w:b/>
                <w:bCs/>
              </w:rPr>
              <w:t>Solihull Local Plan</w:t>
            </w:r>
          </w:p>
          <w:p w14:paraId="763B41FF" w14:textId="77777777" w:rsidR="008C116E" w:rsidRDefault="008C116E" w:rsidP="008C116E">
            <w:pPr>
              <w:rPr>
                <w:rFonts w:cs="Arial"/>
                <w:color w:val="000000" w:themeColor="text1"/>
              </w:rPr>
            </w:pPr>
            <w:r>
              <w:rPr>
                <w:rFonts w:cs="Arial"/>
              </w:rPr>
              <w:t>P14)</w:t>
            </w:r>
            <w:r>
              <w:rPr>
                <w:rFonts w:ascii="Varela Round" w:hAnsi="Varela Round"/>
                <w:color w:val="000000" w:themeColor="text1"/>
                <w:lang w:val="en" w:eastAsia="en-GB"/>
              </w:rPr>
              <w:t xml:space="preserve"> Amenity. S</w:t>
            </w:r>
            <w:proofErr w:type="spellStart"/>
            <w:r>
              <w:rPr>
                <w:rFonts w:cs="Arial"/>
                <w:color w:val="000000" w:themeColor="text1"/>
              </w:rPr>
              <w:t>eeks</w:t>
            </w:r>
            <w:proofErr w:type="spellEnd"/>
            <w:r>
              <w:rPr>
                <w:rFonts w:cs="Arial"/>
                <w:color w:val="000000" w:themeColor="text1"/>
              </w:rPr>
              <w:t xml:space="preserve"> to protect and enhance the amenity of existing and potential occupiers of houses, </w:t>
            </w:r>
            <w:proofErr w:type="gramStart"/>
            <w:r>
              <w:rPr>
                <w:rFonts w:cs="Arial"/>
                <w:color w:val="000000" w:themeColor="text1"/>
              </w:rPr>
              <w:t>businesses</w:t>
            </w:r>
            <w:proofErr w:type="gramEnd"/>
            <w:r>
              <w:rPr>
                <w:rFonts w:cs="Arial"/>
                <w:color w:val="000000" w:themeColor="text1"/>
              </w:rPr>
              <w:t xml:space="preserve"> and other uses in considering proposals new development. Measures are listed as part of achieving these which prospective developers should acknowledge.</w:t>
            </w:r>
          </w:p>
          <w:p w14:paraId="5A5FC740" w14:textId="77777777" w:rsidR="008C116E" w:rsidRDefault="008C116E" w:rsidP="008C116E">
            <w:pPr>
              <w:rPr>
                <w:rFonts w:cs="Arial"/>
                <w:color w:val="000000" w:themeColor="text1"/>
              </w:rPr>
            </w:pPr>
          </w:p>
          <w:p w14:paraId="276BC695" w14:textId="77777777" w:rsidR="008C116E" w:rsidRDefault="008C116E" w:rsidP="008C116E">
            <w:pPr>
              <w:rPr>
                <w:rFonts w:cs="Arial"/>
                <w:color w:val="000000" w:themeColor="text1"/>
              </w:rPr>
            </w:pPr>
            <w:r>
              <w:rPr>
                <w:rFonts w:cs="Arial"/>
                <w:color w:val="000000" w:themeColor="text1"/>
              </w:rPr>
              <w:t xml:space="preserve">P15 Design. Seeks to achieve good quality design and </w:t>
            </w:r>
            <w:proofErr w:type="gramStart"/>
            <w:r>
              <w:rPr>
                <w:rFonts w:cs="Arial"/>
                <w:color w:val="000000" w:themeColor="text1"/>
              </w:rPr>
              <w:t>a number of</w:t>
            </w:r>
            <w:proofErr w:type="gramEnd"/>
            <w:r>
              <w:rPr>
                <w:rFonts w:cs="Arial"/>
                <w:color w:val="000000" w:themeColor="text1"/>
              </w:rPr>
              <w:t xml:space="preserve"> design principles are set out that should be taken on board by developers. One of the principles is that the design should conserve and enhance local character, distinctiveness and streetscape quality and ensure that the scale and massing, density, layout, </w:t>
            </w:r>
            <w:proofErr w:type="gramStart"/>
            <w:r>
              <w:rPr>
                <w:rFonts w:cs="Arial"/>
                <w:color w:val="000000" w:themeColor="text1"/>
              </w:rPr>
              <w:t>materials</w:t>
            </w:r>
            <w:proofErr w:type="gramEnd"/>
            <w:r>
              <w:rPr>
                <w:rFonts w:cs="Arial"/>
                <w:color w:val="000000" w:themeColor="text1"/>
              </w:rPr>
              <w:t xml:space="preserve"> and landscape of the development respect the surrounding natural, built and historic environment.</w:t>
            </w:r>
          </w:p>
          <w:p w14:paraId="6CADFDEB" w14:textId="77777777" w:rsidR="008C116E" w:rsidRDefault="008C116E" w:rsidP="008C116E">
            <w:pPr>
              <w:rPr>
                <w:rFonts w:cs="Arial"/>
                <w:color w:val="000000" w:themeColor="text1"/>
              </w:rPr>
            </w:pPr>
          </w:p>
          <w:p w14:paraId="69F31E9F" w14:textId="77777777" w:rsidR="008C116E" w:rsidRDefault="008C116E" w:rsidP="008C116E">
            <w:pPr>
              <w:rPr>
                <w:rFonts w:cs="Arial"/>
                <w:color w:val="000000" w:themeColor="text1"/>
              </w:rPr>
            </w:pPr>
            <w:r>
              <w:rPr>
                <w:rFonts w:cs="Arial"/>
                <w:color w:val="000000" w:themeColor="text1"/>
              </w:rPr>
              <w:t xml:space="preserve">P19) Range &amp; Quality of Local Services. Part b) seeks to sustain parades and local shops providing for </w:t>
            </w:r>
            <w:proofErr w:type="gramStart"/>
            <w:r>
              <w:rPr>
                <w:rFonts w:cs="Arial"/>
                <w:color w:val="000000" w:themeColor="text1"/>
              </w:rPr>
              <w:t>day to day</w:t>
            </w:r>
            <w:proofErr w:type="gramEnd"/>
            <w:r>
              <w:rPr>
                <w:rFonts w:cs="Arial"/>
                <w:color w:val="000000" w:themeColor="text1"/>
              </w:rPr>
              <w:t xml:space="preserve"> needs. </w:t>
            </w:r>
            <w:proofErr w:type="spellStart"/>
            <w:r>
              <w:rPr>
                <w:rFonts w:cs="Arial"/>
                <w:color w:val="000000" w:themeColor="text1"/>
              </w:rPr>
              <w:t>Prposals</w:t>
            </w:r>
            <w:proofErr w:type="spellEnd"/>
            <w:r>
              <w:rPr>
                <w:rFonts w:cs="Arial"/>
                <w:color w:val="000000" w:themeColor="text1"/>
              </w:rPr>
              <w:t xml:space="preserve"> for Change of use or new development will be supported where this role is not prejudiced. New development needs to be sensitive to local character and enhance the public realm. 12.4.1 encourages shops and other facilities and services to develop and modernise in a sustainable way that encourages retention.   </w:t>
            </w:r>
          </w:p>
          <w:p w14:paraId="2EEABC83" w14:textId="77777777" w:rsidR="008C116E" w:rsidRDefault="008C116E" w:rsidP="008C116E">
            <w:pPr>
              <w:rPr>
                <w:rFonts w:cs="Arial"/>
                <w:color w:val="000000" w:themeColor="text1"/>
              </w:rPr>
            </w:pPr>
          </w:p>
          <w:p w14:paraId="7E4EC600" w14:textId="77777777" w:rsidR="008C116E" w:rsidRDefault="008C116E" w:rsidP="008C116E">
            <w:pPr>
              <w:rPr>
                <w:rFonts w:cstheme="minorBidi"/>
                <w:lang w:val="en"/>
              </w:rPr>
            </w:pPr>
            <w:r>
              <w:rPr>
                <w:lang w:val="en"/>
              </w:rPr>
              <w:t xml:space="preserve">Other generic policies of the SLP include: P7 &amp; P8 Transport and Access, P9 Climate Change, P11, Water Management, P12 Waste, P18 Health, P21 Contributions.  </w:t>
            </w:r>
          </w:p>
          <w:p w14:paraId="2F0EFB17" w14:textId="77777777" w:rsidR="008C116E" w:rsidRDefault="008C116E" w:rsidP="008C116E">
            <w:pPr>
              <w:rPr>
                <w:rFonts w:cs="Arial"/>
                <w:sz w:val="22"/>
                <w:szCs w:val="22"/>
              </w:rPr>
            </w:pPr>
          </w:p>
          <w:p w14:paraId="6CC37C64" w14:textId="77777777" w:rsidR="008C116E" w:rsidRDefault="008C116E" w:rsidP="008C116E">
            <w:pPr>
              <w:rPr>
                <w:rFonts w:ascii="Calibri" w:hAnsi="Calibri" w:cstheme="minorBidi"/>
                <w:b/>
                <w:bCs/>
                <w:color w:val="333333"/>
                <w:sz w:val="23"/>
                <w:szCs w:val="23"/>
                <w:lang w:val="en"/>
              </w:rPr>
            </w:pPr>
            <w:r>
              <w:rPr>
                <w:rFonts w:ascii="Calibri" w:hAnsi="Calibri"/>
                <w:b/>
                <w:bCs/>
                <w:color w:val="333333"/>
                <w:sz w:val="23"/>
                <w:szCs w:val="23"/>
                <w:lang w:val="en"/>
              </w:rPr>
              <w:t>Local Plan Review</w:t>
            </w:r>
          </w:p>
          <w:p w14:paraId="2287FCC5" w14:textId="77777777" w:rsidR="008C116E" w:rsidRDefault="008C116E" w:rsidP="008C116E">
            <w:pPr>
              <w:rPr>
                <w:rFonts w:asciiTheme="minorHAnsi" w:hAnsiTheme="minorHAnsi" w:cstheme="minorHAnsi"/>
                <w:sz w:val="22"/>
                <w:szCs w:val="22"/>
              </w:rPr>
            </w:pPr>
            <w:r>
              <w:rPr>
                <w:rFonts w:cstheme="minorHAnsi"/>
              </w:rPr>
              <w:t xml:space="preserve">The Review plan was submitted to the Secretary of State on the </w:t>
            </w:r>
            <w:proofErr w:type="gramStart"/>
            <w:r>
              <w:rPr>
                <w:rFonts w:cstheme="minorHAnsi"/>
              </w:rPr>
              <w:t>13</w:t>
            </w:r>
            <w:r>
              <w:rPr>
                <w:rFonts w:cstheme="minorHAnsi"/>
                <w:vertAlign w:val="superscript"/>
              </w:rPr>
              <w:t>th</w:t>
            </w:r>
            <w:proofErr w:type="gramEnd"/>
            <w:r>
              <w:rPr>
                <w:rFonts w:cstheme="minorHAnsi"/>
              </w:rPr>
              <w:t xml:space="preserve"> May 2021. Review Inquiry hearings began in September and are programmed to end early in 2022. The Review plan will gain importance in decision making as the review process progresses towards adoption.</w:t>
            </w:r>
          </w:p>
          <w:p w14:paraId="55F8CF88" w14:textId="77777777" w:rsidR="008C116E" w:rsidRDefault="008C116E" w:rsidP="008C116E">
            <w:pPr>
              <w:rPr>
                <w:rFonts w:cstheme="minorHAnsi"/>
              </w:rPr>
            </w:pPr>
          </w:p>
          <w:p w14:paraId="453E7690" w14:textId="77777777" w:rsidR="008C116E" w:rsidRDefault="008C116E" w:rsidP="008C116E">
            <w:pPr>
              <w:rPr>
                <w:rFonts w:cstheme="minorHAnsi"/>
              </w:rPr>
            </w:pPr>
            <w:r>
              <w:rPr>
                <w:rFonts w:cstheme="minorHAnsi"/>
              </w:rPr>
              <w:t>P14) Amenity. Includes greater emphasis on high quality design and on making efficient use of land.</w:t>
            </w:r>
          </w:p>
          <w:p w14:paraId="08574A35" w14:textId="77777777" w:rsidR="008C116E" w:rsidRDefault="008C116E" w:rsidP="008C116E">
            <w:pPr>
              <w:rPr>
                <w:rFonts w:cstheme="minorHAnsi"/>
              </w:rPr>
            </w:pPr>
          </w:p>
          <w:p w14:paraId="17C68934" w14:textId="77777777" w:rsidR="008C116E" w:rsidRDefault="008C116E" w:rsidP="008C116E">
            <w:pPr>
              <w:rPr>
                <w:rFonts w:cstheme="minorHAnsi"/>
              </w:rPr>
            </w:pPr>
            <w:r>
              <w:rPr>
                <w:rFonts w:cstheme="minorHAnsi"/>
              </w:rPr>
              <w:lastRenderedPageBreak/>
              <w:t xml:space="preserve">P15) Securing Design Quality. All developments are to be of high-quality design and to contribute to high quality places and spaces that have regard to local distinctiveness and achieve inclusive and sustainable design. Lists expectations of proposals in achieving high quality design. </w:t>
            </w:r>
          </w:p>
          <w:p w14:paraId="368A6157" w14:textId="77777777" w:rsidR="008C116E" w:rsidRDefault="008C116E" w:rsidP="008C116E">
            <w:pPr>
              <w:rPr>
                <w:rFonts w:cstheme="minorHAnsi"/>
              </w:rPr>
            </w:pPr>
          </w:p>
          <w:p w14:paraId="75C50B16" w14:textId="77777777" w:rsidR="008C116E" w:rsidRDefault="008C116E" w:rsidP="008C116E">
            <w:pPr>
              <w:rPr>
                <w:rFonts w:cstheme="minorHAnsi"/>
              </w:rPr>
            </w:pPr>
            <w:r>
              <w:rPr>
                <w:rFonts w:cstheme="minorHAnsi"/>
              </w:rPr>
              <w:t xml:space="preserve">P19) Range &amp; Quality of Local Services. Acknowledge the importance of local shops as a community resource. Their loss, without a suitable alternative replacement is not supported unless it can be demonstrated that there is no prospect of retention. 462 acknowledges that shops providing for </w:t>
            </w:r>
            <w:proofErr w:type="gramStart"/>
            <w:r>
              <w:rPr>
                <w:rFonts w:cstheme="minorHAnsi"/>
              </w:rPr>
              <w:t>day to day</w:t>
            </w:r>
            <w:proofErr w:type="gramEnd"/>
            <w:r>
              <w:rPr>
                <w:rFonts w:cstheme="minorHAnsi"/>
              </w:rPr>
              <w:t xml:space="preserve"> needs contribute to health and well-being. At 465 facilities will be expected to support sustainable development principles and meet the requirements of other parts of the Review plan, including Policy 15 relating to design quality.    </w:t>
            </w:r>
          </w:p>
          <w:p w14:paraId="23474BF2" w14:textId="77777777" w:rsidR="008C116E" w:rsidRDefault="008C116E" w:rsidP="008C116E">
            <w:pPr>
              <w:rPr>
                <w:rFonts w:cstheme="minorHAnsi"/>
              </w:rPr>
            </w:pPr>
          </w:p>
          <w:p w14:paraId="01394D9F" w14:textId="77777777" w:rsidR="008C116E" w:rsidRDefault="008C116E" w:rsidP="008C116E">
            <w:pPr>
              <w:rPr>
                <w:rFonts w:ascii="Calibri" w:hAnsi="Calibri" w:cs="Calibri"/>
                <w:b/>
                <w:bCs/>
                <w:color w:val="333333"/>
                <w:shd w:val="clear" w:color="auto" w:fill="FFFFFF"/>
              </w:rPr>
            </w:pPr>
            <w:r>
              <w:rPr>
                <w:rFonts w:ascii="Calibri" w:hAnsi="Calibri" w:cs="Calibri"/>
                <w:b/>
                <w:bCs/>
                <w:color w:val="333333"/>
                <w:shd w:val="clear" w:color="auto" w:fill="FFFFFF"/>
              </w:rPr>
              <w:t>Comments</w:t>
            </w:r>
          </w:p>
          <w:p w14:paraId="0E6383EA" w14:textId="731478FA" w:rsidR="008C116E" w:rsidRDefault="008C116E" w:rsidP="008C116E">
            <w:pPr>
              <w:rPr>
                <w:rFonts w:ascii="Calibri" w:hAnsi="Calibri" w:cs="Calibri"/>
                <w:color w:val="333333"/>
                <w:shd w:val="clear" w:color="auto" w:fill="FFFFFF"/>
              </w:rPr>
            </w:pPr>
            <w:r>
              <w:rPr>
                <w:rFonts w:ascii="Calibri" w:hAnsi="Calibri" w:cs="Calibri"/>
                <w:color w:val="333333"/>
                <w:shd w:val="clear" w:color="auto" w:fill="FFFFFF"/>
              </w:rPr>
              <w:t>The premises are located at the corner of Yardley Wood Road and High Street Solihull Lodge and are a petrol station with small convenience shop. The proposal is to redevelop the site to</w:t>
            </w:r>
            <w:r w:rsidR="00597E6B">
              <w:rPr>
                <w:rFonts w:ascii="Calibri" w:hAnsi="Calibri" w:cs="Calibri"/>
                <w:color w:val="333333"/>
                <w:shd w:val="clear" w:color="auto" w:fill="FFFFFF"/>
              </w:rPr>
              <w:t xml:space="preserve"> remove the fuel sales facility and </w:t>
            </w:r>
            <w:r>
              <w:rPr>
                <w:rFonts w:ascii="Calibri" w:hAnsi="Calibri" w:cs="Calibri"/>
                <w:color w:val="333333"/>
                <w:shd w:val="clear" w:color="auto" w:fill="FFFFFF"/>
              </w:rPr>
              <w:t>provide a relatively small convenience shop (</w:t>
            </w:r>
            <w:r w:rsidR="00C54286">
              <w:rPr>
                <w:rFonts w:ascii="Calibri" w:hAnsi="Calibri" w:cs="Calibri"/>
                <w:color w:val="333333"/>
                <w:shd w:val="clear" w:color="auto" w:fill="FFFFFF"/>
              </w:rPr>
              <w:t xml:space="preserve">211 </w:t>
            </w:r>
            <w:r>
              <w:rPr>
                <w:rFonts w:ascii="Calibri" w:hAnsi="Calibri" w:cs="Calibri"/>
                <w:color w:val="333333"/>
                <w:shd w:val="clear" w:color="auto" w:fill="FFFFFF"/>
              </w:rPr>
              <w:t xml:space="preserve">sqm), albeit about twice the floor area of the existing shop. </w:t>
            </w:r>
          </w:p>
          <w:p w14:paraId="1AC84F80" w14:textId="77777777" w:rsidR="008C116E" w:rsidRDefault="008C116E" w:rsidP="008C116E">
            <w:pPr>
              <w:rPr>
                <w:rFonts w:ascii="Calibri" w:hAnsi="Calibri" w:cs="Calibri"/>
                <w:color w:val="333333"/>
                <w:shd w:val="clear" w:color="auto" w:fill="FFFFFF"/>
              </w:rPr>
            </w:pPr>
          </w:p>
          <w:p w14:paraId="119E95EA" w14:textId="4A92DD89" w:rsidR="008C116E" w:rsidRDefault="008C116E" w:rsidP="008C116E">
            <w:pPr>
              <w:rPr>
                <w:rFonts w:ascii="Calibri" w:hAnsi="Calibri" w:cs="Calibri"/>
                <w:color w:val="333333"/>
                <w:shd w:val="clear" w:color="auto" w:fill="FFFFFF"/>
              </w:rPr>
            </w:pPr>
            <w:r>
              <w:rPr>
                <w:rFonts w:ascii="Calibri" w:hAnsi="Calibri" w:cs="Calibri"/>
                <w:color w:val="333333"/>
                <w:shd w:val="clear" w:color="auto" w:fill="FFFFFF"/>
              </w:rPr>
              <w:t>The conclusion to the planning statement describes the site as ‘edge of centre’, but it would seem to be a freestanding use away from any retail centre. As such the ‘sequential test’ is relevant. The test has been applied in a suitably methodical and focussed way based on Shirley Town Centre and Hall Green Centre.  A number of premises have been examined but all have been dismissed, largely because in terms of size they are not in the ‘Goldilocks’ range</w:t>
            </w:r>
            <w:r w:rsidR="00743020">
              <w:rPr>
                <w:rFonts w:ascii="Calibri" w:hAnsi="Calibri" w:cs="Calibri"/>
                <w:color w:val="333333"/>
                <w:shd w:val="clear" w:color="auto" w:fill="FFFFFF"/>
              </w:rPr>
              <w:t xml:space="preserve"> for the applicant’s business model</w:t>
            </w:r>
            <w:r>
              <w:rPr>
                <w:rFonts w:ascii="Calibri" w:hAnsi="Calibri" w:cs="Calibri"/>
                <w:color w:val="333333"/>
                <w:shd w:val="clear" w:color="auto" w:fill="FFFFFF"/>
              </w:rPr>
              <w:t xml:space="preserve">.     </w:t>
            </w:r>
          </w:p>
          <w:p w14:paraId="0BE9FAE1" w14:textId="77777777" w:rsidR="008C116E" w:rsidRDefault="008C116E" w:rsidP="008C116E">
            <w:pPr>
              <w:rPr>
                <w:rFonts w:ascii="Calibri" w:hAnsi="Calibri" w:cs="Calibri"/>
                <w:color w:val="333333"/>
                <w:shd w:val="clear" w:color="auto" w:fill="FFFFFF"/>
              </w:rPr>
            </w:pPr>
          </w:p>
          <w:p w14:paraId="2A4A42CC" w14:textId="5496B670" w:rsidR="008C116E" w:rsidRDefault="008C116E" w:rsidP="008C116E">
            <w:pPr>
              <w:rPr>
                <w:rFonts w:asciiTheme="minorHAnsi" w:hAnsiTheme="minorHAnsi" w:cstheme="minorHAnsi"/>
              </w:rPr>
            </w:pPr>
            <w:r>
              <w:rPr>
                <w:rFonts w:ascii="Calibri" w:hAnsi="Calibri" w:cs="Calibri"/>
                <w:color w:val="333333"/>
                <w:shd w:val="clear" w:color="auto" w:fill="FFFFFF"/>
              </w:rPr>
              <w:t xml:space="preserve">SLP Policy P19 (and the Review) provides some general support for the further development of local shops serving local day to day needs, as might be expected of a relatively small convenience shop. Located within a petrol station there may have been an intent to serve car borne </w:t>
            </w:r>
            <w:proofErr w:type="gramStart"/>
            <w:r>
              <w:rPr>
                <w:rFonts w:ascii="Calibri" w:hAnsi="Calibri" w:cs="Calibri"/>
                <w:color w:val="333333"/>
                <w:shd w:val="clear" w:color="auto" w:fill="FFFFFF"/>
              </w:rPr>
              <w:t>visits, but</w:t>
            </w:r>
            <w:proofErr w:type="gramEnd"/>
            <w:r>
              <w:rPr>
                <w:rFonts w:ascii="Calibri" w:hAnsi="Calibri" w:cs="Calibri"/>
                <w:color w:val="333333"/>
                <w:shd w:val="clear" w:color="auto" w:fill="FFFFFF"/>
              </w:rPr>
              <w:t xml:space="preserve"> v</w:t>
            </w:r>
            <w:r>
              <w:rPr>
                <w:rFonts w:cstheme="minorHAnsi"/>
              </w:rPr>
              <w:t xml:space="preserve">isits on foot </w:t>
            </w:r>
            <w:r w:rsidR="00743020">
              <w:rPr>
                <w:rFonts w:cstheme="minorHAnsi"/>
              </w:rPr>
              <w:t xml:space="preserve">would not have been </w:t>
            </w:r>
            <w:r>
              <w:rPr>
                <w:rFonts w:cstheme="minorHAnsi"/>
              </w:rPr>
              <w:t>precluded. Redevelopment as proposed would enable the prospect of a better local shop facility</w:t>
            </w:r>
            <w:r w:rsidR="00743020">
              <w:rPr>
                <w:rFonts w:cstheme="minorHAnsi"/>
              </w:rPr>
              <w:t xml:space="preserve"> of an appropriate local scale. Local </w:t>
            </w:r>
            <w:r>
              <w:rPr>
                <w:rFonts w:cstheme="minorHAnsi"/>
              </w:rPr>
              <w:t xml:space="preserve">amenity and highway safety </w:t>
            </w:r>
            <w:r w:rsidR="00743020">
              <w:rPr>
                <w:rFonts w:cstheme="minorHAnsi"/>
              </w:rPr>
              <w:t xml:space="preserve">would need to be </w:t>
            </w:r>
            <w:r>
              <w:rPr>
                <w:rFonts w:cstheme="minorHAnsi"/>
              </w:rPr>
              <w:t xml:space="preserve">protected. </w:t>
            </w:r>
          </w:p>
          <w:p w14:paraId="7DF15F04" w14:textId="77777777" w:rsidR="008C116E" w:rsidRDefault="008C116E" w:rsidP="008C116E">
            <w:pPr>
              <w:rPr>
                <w:rFonts w:ascii="Calibri" w:hAnsi="Calibri" w:cs="Calibri"/>
                <w:color w:val="333333"/>
                <w:shd w:val="clear" w:color="auto" w:fill="FFFFFF"/>
              </w:rPr>
            </w:pPr>
            <w:r>
              <w:rPr>
                <w:rFonts w:ascii="Calibri" w:hAnsi="Calibri" w:cs="Calibri"/>
                <w:color w:val="333333"/>
                <w:shd w:val="clear" w:color="auto" w:fill="FFFFFF"/>
              </w:rPr>
              <w:t xml:space="preserve">  </w:t>
            </w:r>
          </w:p>
          <w:p w14:paraId="2FD708EA" w14:textId="77777777" w:rsidR="008C116E" w:rsidRDefault="008C116E" w:rsidP="008C116E">
            <w:pPr>
              <w:pStyle w:val="NoSpacing"/>
              <w:rPr>
                <w:rFonts w:cstheme="minorHAnsi"/>
              </w:rPr>
            </w:pPr>
            <w:r>
              <w:rPr>
                <w:rFonts w:cstheme="minorHAnsi"/>
              </w:rPr>
              <w:t xml:space="preserve">Policies SLP P14 and P15 (Amenity and Design) will be important considerations through the development management process and including the comments of others. The comments of the Highways Officer may also be important (SLP P7 &amp; P8 and any other highway/transport related comments). </w:t>
            </w:r>
          </w:p>
          <w:p w14:paraId="1BE0FF7E" w14:textId="7F7568A9" w:rsidR="00163BAD" w:rsidRPr="00D5565F" w:rsidRDefault="00163BAD" w:rsidP="008C116E">
            <w:pPr>
              <w:pStyle w:val="NoSpacing"/>
              <w:spacing w:line="254" w:lineRule="auto"/>
              <w:rPr>
                <w:rFonts w:cstheme="minorHAnsi"/>
              </w:rPr>
            </w:pPr>
          </w:p>
        </w:tc>
      </w:tr>
      <w:tr w:rsidR="00416769" w:rsidRPr="006625FB" w14:paraId="09A907A9" w14:textId="77777777" w:rsidTr="36426CD8">
        <w:trPr>
          <w:gridAfter w:val="1"/>
          <w:wAfter w:w="596" w:type="dxa"/>
          <w:trHeight w:val="289"/>
        </w:trPr>
        <w:tc>
          <w:tcPr>
            <w:tcW w:w="9322" w:type="dxa"/>
            <w:gridSpan w:val="3"/>
            <w:shd w:val="clear" w:color="auto" w:fill="D9D9D9" w:themeFill="background1" w:themeFillShade="D9"/>
          </w:tcPr>
          <w:p w14:paraId="68142FD9" w14:textId="77777777" w:rsidR="00416769" w:rsidRDefault="36426CD8" w:rsidP="004407A6">
            <w:pPr>
              <w:tabs>
                <w:tab w:val="left" w:pos="8280"/>
              </w:tabs>
              <w:jc w:val="both"/>
              <w:rPr>
                <w:rFonts w:ascii="Arial" w:hAnsi="Arial" w:cs="Arial"/>
                <w:b/>
              </w:rPr>
            </w:pPr>
            <w:r w:rsidRPr="36426CD8">
              <w:rPr>
                <w:rFonts w:ascii="Arial" w:hAnsi="Arial" w:cs="Arial"/>
                <w:b/>
                <w:bCs/>
              </w:rPr>
              <w:lastRenderedPageBreak/>
              <w:t>Further information required (if applicable):</w:t>
            </w:r>
          </w:p>
          <w:p w14:paraId="697C90B0" w14:textId="77777777" w:rsidR="006625FB" w:rsidRPr="006625FB" w:rsidRDefault="36426CD8" w:rsidP="36426CD8">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14:paraId="6AC7AF9D" w14:textId="77777777" w:rsidR="006625FB" w:rsidRPr="006625FB" w:rsidRDefault="006625FB" w:rsidP="36426CD8">
            <w:pPr>
              <w:tabs>
                <w:tab w:val="left" w:pos="8280"/>
              </w:tabs>
              <w:jc w:val="both"/>
              <w:rPr>
                <w:rFonts w:ascii="Arial" w:hAnsi="Arial" w:cs="Arial"/>
                <w:sz w:val="20"/>
                <w:szCs w:val="20"/>
              </w:rPr>
            </w:pPr>
          </w:p>
        </w:tc>
      </w:tr>
      <w:tr w:rsidR="00416769" w:rsidRPr="006625FB" w14:paraId="34487AC1" w14:textId="77777777" w:rsidTr="36426CD8">
        <w:trPr>
          <w:gridAfter w:val="1"/>
          <w:wAfter w:w="596" w:type="dxa"/>
          <w:trHeight w:val="1245"/>
        </w:trPr>
        <w:tc>
          <w:tcPr>
            <w:tcW w:w="9322" w:type="dxa"/>
            <w:gridSpan w:val="3"/>
            <w:shd w:val="clear" w:color="auto" w:fill="FFFFFF" w:themeFill="background1"/>
          </w:tcPr>
          <w:p w14:paraId="349787FB" w14:textId="77777777" w:rsidR="00416769" w:rsidRPr="00AB3034" w:rsidRDefault="00416769" w:rsidP="004407A6">
            <w:pPr>
              <w:tabs>
                <w:tab w:val="left" w:pos="8280"/>
              </w:tabs>
              <w:jc w:val="both"/>
              <w:rPr>
                <w:rFonts w:ascii="Arial" w:hAnsi="Arial" w:cs="Arial"/>
              </w:rPr>
            </w:pPr>
          </w:p>
        </w:tc>
      </w:tr>
      <w:tr w:rsidR="00416769" w:rsidRPr="006625FB" w14:paraId="4CA544CE" w14:textId="77777777" w:rsidTr="36426CD8">
        <w:trPr>
          <w:gridAfter w:val="1"/>
          <w:wAfter w:w="596" w:type="dxa"/>
          <w:trHeight w:val="278"/>
        </w:trPr>
        <w:tc>
          <w:tcPr>
            <w:tcW w:w="9322" w:type="dxa"/>
            <w:gridSpan w:val="3"/>
            <w:shd w:val="clear" w:color="auto" w:fill="D9D9D9" w:themeFill="background1" w:themeFillShade="D9"/>
          </w:tcPr>
          <w:p w14:paraId="5B9A1E65" w14:textId="77777777" w:rsidR="00416769" w:rsidRDefault="36426CD8" w:rsidP="004407A6">
            <w:pPr>
              <w:tabs>
                <w:tab w:val="left" w:pos="8280"/>
              </w:tabs>
              <w:jc w:val="both"/>
              <w:rPr>
                <w:rFonts w:ascii="Arial" w:hAnsi="Arial" w:cs="Arial"/>
                <w:b/>
              </w:rPr>
            </w:pPr>
            <w:r w:rsidRPr="36426CD8">
              <w:rPr>
                <w:rFonts w:ascii="Arial" w:hAnsi="Arial" w:cs="Arial"/>
                <w:b/>
                <w:bCs/>
              </w:rPr>
              <w:t>Amendments recommended (if applicable):</w:t>
            </w:r>
          </w:p>
          <w:p w14:paraId="428CF231" w14:textId="77777777" w:rsidR="006625FB" w:rsidRPr="006625FB" w:rsidRDefault="36426CD8" w:rsidP="36426CD8">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14:paraId="3434120D" w14:textId="77777777" w:rsidR="006625FB" w:rsidRPr="006625FB" w:rsidRDefault="006625FB" w:rsidP="36426CD8">
            <w:pPr>
              <w:tabs>
                <w:tab w:val="left" w:pos="8280"/>
              </w:tabs>
              <w:jc w:val="both"/>
              <w:rPr>
                <w:rFonts w:ascii="Arial" w:hAnsi="Arial" w:cs="Arial"/>
              </w:rPr>
            </w:pPr>
          </w:p>
        </w:tc>
      </w:tr>
      <w:tr w:rsidR="00416769" w:rsidRPr="006625FB" w14:paraId="62CDCBD9" w14:textId="77777777" w:rsidTr="36426CD8">
        <w:trPr>
          <w:gridAfter w:val="1"/>
          <w:wAfter w:w="596" w:type="dxa"/>
          <w:trHeight w:val="1380"/>
        </w:trPr>
        <w:tc>
          <w:tcPr>
            <w:tcW w:w="9322" w:type="dxa"/>
            <w:gridSpan w:val="3"/>
            <w:shd w:val="clear" w:color="auto" w:fill="auto"/>
          </w:tcPr>
          <w:p w14:paraId="7B4D62A2" w14:textId="77777777" w:rsidR="00416769" w:rsidRPr="00AB3034" w:rsidRDefault="00416769" w:rsidP="004407A6">
            <w:pPr>
              <w:tabs>
                <w:tab w:val="left" w:pos="8280"/>
              </w:tabs>
              <w:jc w:val="both"/>
              <w:rPr>
                <w:rFonts w:ascii="Arial" w:hAnsi="Arial" w:cs="Arial"/>
              </w:rPr>
            </w:pPr>
          </w:p>
        </w:tc>
      </w:tr>
      <w:tr w:rsidR="00416769" w:rsidRPr="006625FB" w14:paraId="44E797B4" w14:textId="77777777" w:rsidTr="36426CD8">
        <w:trPr>
          <w:gridAfter w:val="1"/>
          <w:wAfter w:w="596" w:type="dxa"/>
          <w:trHeight w:val="302"/>
        </w:trPr>
        <w:tc>
          <w:tcPr>
            <w:tcW w:w="9322" w:type="dxa"/>
            <w:gridSpan w:val="3"/>
            <w:shd w:val="clear" w:color="auto" w:fill="D9D9D9" w:themeFill="background1" w:themeFillShade="D9"/>
          </w:tcPr>
          <w:p w14:paraId="0C122C5C" w14:textId="77777777" w:rsidR="00416769" w:rsidRDefault="6F0B6139" w:rsidP="6F0B6139">
            <w:pPr>
              <w:tabs>
                <w:tab w:val="left" w:pos="8280"/>
              </w:tabs>
              <w:jc w:val="both"/>
              <w:rPr>
                <w:rFonts w:ascii="Arial" w:hAnsi="Arial" w:cs="Arial"/>
                <w:b/>
                <w:bCs/>
              </w:rPr>
            </w:pPr>
            <w:r w:rsidRPr="6F0B6139">
              <w:rPr>
                <w:rFonts w:ascii="Arial" w:hAnsi="Arial" w:cs="Arial"/>
                <w:b/>
                <w:bCs/>
              </w:rPr>
              <w:t>Recommended conditions (if applicable):</w:t>
            </w:r>
          </w:p>
          <w:p w14:paraId="303C87CF" w14:textId="77777777" w:rsidR="006625FB" w:rsidRPr="006625FB" w:rsidRDefault="6F0B6139" w:rsidP="6F0B6139">
            <w:pPr>
              <w:tabs>
                <w:tab w:val="left" w:pos="8280"/>
              </w:tabs>
              <w:jc w:val="both"/>
              <w:rPr>
                <w:rFonts w:ascii="Arial" w:hAnsi="Arial" w:cs="Arial"/>
                <w:sz w:val="20"/>
                <w:szCs w:val="20"/>
              </w:rPr>
            </w:pPr>
            <w:r w:rsidRPr="6F0B6139">
              <w:rPr>
                <w:rFonts w:ascii="Arial" w:hAnsi="Arial" w:cs="Arial"/>
                <w:sz w:val="20"/>
                <w:szCs w:val="20"/>
              </w:rPr>
              <w:t>(Please provide justification for any pre-commencement conditions)</w:t>
            </w:r>
          </w:p>
          <w:p w14:paraId="1D32E77E" w14:textId="77777777" w:rsidR="006625FB" w:rsidRPr="006625FB" w:rsidRDefault="006625FB" w:rsidP="6F0B6139">
            <w:pPr>
              <w:tabs>
                <w:tab w:val="left" w:pos="8280"/>
              </w:tabs>
              <w:jc w:val="both"/>
              <w:rPr>
                <w:rFonts w:ascii="Arial" w:hAnsi="Arial" w:cs="Arial"/>
                <w:sz w:val="20"/>
                <w:szCs w:val="20"/>
              </w:rPr>
            </w:pPr>
          </w:p>
        </w:tc>
      </w:tr>
      <w:tr w:rsidR="0074312D" w:rsidRPr="006625FB" w14:paraId="1A647DF9" w14:textId="77777777" w:rsidTr="36426CD8">
        <w:trPr>
          <w:gridAfter w:val="1"/>
          <w:wAfter w:w="596" w:type="dxa"/>
          <w:trHeight w:val="302"/>
        </w:trPr>
        <w:tc>
          <w:tcPr>
            <w:tcW w:w="9322" w:type="dxa"/>
            <w:gridSpan w:val="3"/>
            <w:shd w:val="clear" w:color="auto" w:fill="auto"/>
          </w:tcPr>
          <w:p w14:paraId="03B3A072" w14:textId="77777777" w:rsidR="0074312D" w:rsidRPr="00AB3034" w:rsidRDefault="0074312D" w:rsidP="004407A6">
            <w:pPr>
              <w:tabs>
                <w:tab w:val="left" w:pos="8280"/>
              </w:tabs>
              <w:jc w:val="both"/>
              <w:rPr>
                <w:rFonts w:ascii="Arial" w:hAnsi="Arial" w:cs="Arial"/>
              </w:rPr>
            </w:pPr>
          </w:p>
          <w:p w14:paraId="1D1EF6E7" w14:textId="77777777" w:rsidR="0074312D" w:rsidRPr="00AB3034" w:rsidRDefault="0074312D" w:rsidP="004407A6">
            <w:pPr>
              <w:tabs>
                <w:tab w:val="left" w:pos="8280"/>
              </w:tabs>
              <w:jc w:val="both"/>
              <w:rPr>
                <w:rFonts w:ascii="Arial" w:hAnsi="Arial" w:cs="Arial"/>
              </w:rPr>
            </w:pPr>
          </w:p>
          <w:p w14:paraId="47F2CC51" w14:textId="77777777" w:rsidR="0074312D" w:rsidRPr="00AB3034" w:rsidRDefault="0074312D" w:rsidP="004407A6">
            <w:pPr>
              <w:tabs>
                <w:tab w:val="left" w:pos="8280"/>
              </w:tabs>
              <w:jc w:val="both"/>
              <w:rPr>
                <w:rFonts w:ascii="Arial" w:hAnsi="Arial" w:cs="Arial"/>
              </w:rPr>
            </w:pPr>
          </w:p>
          <w:p w14:paraId="48951571" w14:textId="77777777" w:rsidR="0074312D" w:rsidRPr="00AB3034" w:rsidRDefault="0074312D" w:rsidP="004407A6">
            <w:pPr>
              <w:tabs>
                <w:tab w:val="left" w:pos="8280"/>
              </w:tabs>
              <w:jc w:val="both"/>
              <w:rPr>
                <w:rFonts w:ascii="Arial" w:hAnsi="Arial" w:cs="Arial"/>
              </w:rPr>
            </w:pPr>
          </w:p>
        </w:tc>
      </w:tr>
      <w:tr w:rsidR="0074312D" w:rsidRPr="006625FB" w14:paraId="37AD6365" w14:textId="77777777" w:rsidTr="36426CD8">
        <w:trPr>
          <w:gridAfter w:val="1"/>
          <w:wAfter w:w="596" w:type="dxa"/>
          <w:trHeight w:val="302"/>
        </w:trPr>
        <w:tc>
          <w:tcPr>
            <w:tcW w:w="9322" w:type="dxa"/>
            <w:gridSpan w:val="3"/>
            <w:shd w:val="clear" w:color="auto" w:fill="D9D9D9" w:themeFill="background1" w:themeFillShade="D9"/>
          </w:tcPr>
          <w:p w14:paraId="1C417ED8" w14:textId="77777777" w:rsidR="0074312D" w:rsidRDefault="0074312D" w:rsidP="004407A6">
            <w:pPr>
              <w:tabs>
                <w:tab w:val="left" w:pos="8280"/>
              </w:tabs>
              <w:jc w:val="both"/>
              <w:rPr>
                <w:rFonts w:ascii="Arial" w:hAnsi="Arial" w:cs="Arial"/>
                <w:b/>
              </w:rPr>
            </w:pPr>
            <w:r w:rsidRPr="006625FB">
              <w:rPr>
                <w:rFonts w:ascii="Arial" w:hAnsi="Arial" w:cs="Arial"/>
                <w:b/>
              </w:rPr>
              <w:t xml:space="preserve">If the application is to </w:t>
            </w:r>
            <w:r w:rsidR="006625FB" w:rsidRPr="00250718">
              <w:rPr>
                <w:rFonts w:ascii="Arial" w:hAnsi="Arial" w:cs="Arial"/>
                <w:b/>
                <w:u w:val="single"/>
              </w:rPr>
              <w:t>DISCHARGE CONDITIONS</w:t>
            </w:r>
            <w:r w:rsidRPr="006625FB">
              <w:rPr>
                <w:rFonts w:ascii="Arial" w:hAnsi="Arial" w:cs="Arial"/>
                <w:b/>
              </w:rPr>
              <w:t xml:space="preserve">, please </w:t>
            </w:r>
            <w:r w:rsidR="00FB6152" w:rsidRPr="006625FB">
              <w:rPr>
                <w:rFonts w:ascii="Arial" w:hAnsi="Arial" w:cs="Arial"/>
                <w:b/>
              </w:rPr>
              <w:t>confirm</w:t>
            </w:r>
            <w:r w:rsidRPr="006625FB">
              <w:rPr>
                <w:rFonts w:ascii="Arial" w:hAnsi="Arial" w:cs="Arial"/>
                <w:b/>
              </w:rPr>
              <w:t xml:space="preserve"> the list of documents you are approving below</w:t>
            </w:r>
            <w:r w:rsidR="004715C1" w:rsidRPr="006625FB">
              <w:rPr>
                <w:rFonts w:ascii="Arial" w:hAnsi="Arial" w:cs="Arial"/>
                <w:b/>
              </w:rPr>
              <w:t>:</w:t>
            </w:r>
          </w:p>
          <w:p w14:paraId="17ABDF97" w14:textId="77777777" w:rsidR="006625FB" w:rsidRPr="006625FB" w:rsidRDefault="006625FB" w:rsidP="004407A6">
            <w:pPr>
              <w:tabs>
                <w:tab w:val="left" w:pos="8280"/>
              </w:tabs>
              <w:jc w:val="both"/>
              <w:rPr>
                <w:rFonts w:ascii="Arial" w:hAnsi="Arial" w:cs="Arial"/>
                <w:b/>
              </w:rPr>
            </w:pPr>
          </w:p>
        </w:tc>
      </w:tr>
      <w:tr w:rsidR="0074312D" w:rsidRPr="006625FB" w14:paraId="0B434081" w14:textId="77777777" w:rsidTr="36426CD8">
        <w:trPr>
          <w:gridAfter w:val="1"/>
          <w:wAfter w:w="596" w:type="dxa"/>
          <w:trHeight w:val="302"/>
        </w:trPr>
        <w:tc>
          <w:tcPr>
            <w:tcW w:w="9322" w:type="dxa"/>
            <w:gridSpan w:val="3"/>
            <w:shd w:val="clear" w:color="auto" w:fill="auto"/>
          </w:tcPr>
          <w:p w14:paraId="11CAF4BC" w14:textId="77777777" w:rsidR="0074312D" w:rsidRPr="00AB3034" w:rsidRDefault="0074312D" w:rsidP="00FB6152">
            <w:pPr>
              <w:pStyle w:val="ListParagraph"/>
              <w:numPr>
                <w:ilvl w:val="0"/>
                <w:numId w:val="2"/>
              </w:numPr>
              <w:tabs>
                <w:tab w:val="left" w:pos="8280"/>
              </w:tabs>
              <w:jc w:val="both"/>
              <w:rPr>
                <w:rFonts w:ascii="Arial" w:hAnsi="Arial" w:cs="Arial"/>
              </w:rPr>
            </w:pPr>
          </w:p>
          <w:p w14:paraId="321B7803" w14:textId="77777777" w:rsidR="00FB6152" w:rsidRPr="00AB3034" w:rsidRDefault="00FB6152" w:rsidP="00FB6152">
            <w:pPr>
              <w:pStyle w:val="ListParagraph"/>
              <w:numPr>
                <w:ilvl w:val="0"/>
                <w:numId w:val="2"/>
              </w:numPr>
              <w:tabs>
                <w:tab w:val="left" w:pos="8280"/>
              </w:tabs>
              <w:jc w:val="both"/>
              <w:rPr>
                <w:rFonts w:ascii="Arial" w:hAnsi="Arial" w:cs="Arial"/>
              </w:rPr>
            </w:pPr>
          </w:p>
          <w:p w14:paraId="62D7C8E7" w14:textId="77777777" w:rsidR="00FB6152" w:rsidRPr="00AB3034" w:rsidRDefault="00FB6152" w:rsidP="00FB6152">
            <w:pPr>
              <w:pStyle w:val="ListParagraph"/>
              <w:numPr>
                <w:ilvl w:val="0"/>
                <w:numId w:val="2"/>
              </w:numPr>
              <w:tabs>
                <w:tab w:val="left" w:pos="8280"/>
              </w:tabs>
              <w:jc w:val="both"/>
              <w:rPr>
                <w:rFonts w:ascii="Arial" w:hAnsi="Arial" w:cs="Arial"/>
              </w:rPr>
            </w:pPr>
          </w:p>
        </w:tc>
      </w:tr>
      <w:tr w:rsidR="0074312D" w:rsidRPr="006625FB" w14:paraId="22530D5E" w14:textId="77777777" w:rsidTr="36426CD8">
        <w:trPr>
          <w:gridAfter w:val="1"/>
          <w:wAfter w:w="596" w:type="dxa"/>
          <w:trHeight w:val="302"/>
        </w:trPr>
        <w:tc>
          <w:tcPr>
            <w:tcW w:w="9322" w:type="dxa"/>
            <w:gridSpan w:val="3"/>
            <w:shd w:val="clear" w:color="auto" w:fill="D9D9D9" w:themeFill="background1" w:themeFillShade="D9"/>
          </w:tcPr>
          <w:p w14:paraId="2E0E4EA2" w14:textId="77777777" w:rsidR="0074312D" w:rsidRDefault="0074312D" w:rsidP="004407A6">
            <w:pPr>
              <w:tabs>
                <w:tab w:val="left" w:pos="8280"/>
              </w:tabs>
              <w:jc w:val="both"/>
              <w:rPr>
                <w:rFonts w:ascii="Arial" w:hAnsi="Arial" w:cs="Arial"/>
                <w:b/>
              </w:rPr>
            </w:pPr>
            <w:r w:rsidRPr="006625FB">
              <w:rPr>
                <w:rFonts w:ascii="Arial" w:hAnsi="Arial" w:cs="Arial"/>
                <w:b/>
              </w:rPr>
              <w:t xml:space="preserve">If the application requires a </w:t>
            </w:r>
            <w:r w:rsidR="00C148D5" w:rsidRPr="00C148D5">
              <w:rPr>
                <w:rFonts w:ascii="Arial" w:hAnsi="Arial" w:cs="Arial"/>
                <w:b/>
                <w:u w:val="single"/>
              </w:rPr>
              <w:t>S106</w:t>
            </w:r>
            <w:r w:rsidR="00C148D5" w:rsidRPr="008611C8">
              <w:rPr>
                <w:rFonts w:ascii="Arial" w:hAnsi="Arial" w:cs="Arial"/>
                <w:b/>
              </w:rPr>
              <w:t xml:space="preserve"> </w:t>
            </w:r>
            <w:r w:rsidR="00C148D5" w:rsidRPr="00C148D5">
              <w:rPr>
                <w:rFonts w:ascii="Arial" w:hAnsi="Arial" w:cs="Arial"/>
                <w:b/>
              </w:rPr>
              <w:t>contribution</w:t>
            </w:r>
            <w:r w:rsidR="00FB6152" w:rsidRPr="006625FB">
              <w:rPr>
                <w:rFonts w:ascii="Arial" w:hAnsi="Arial" w:cs="Arial"/>
                <w:b/>
              </w:rPr>
              <w:t>/ requirement</w:t>
            </w:r>
            <w:r w:rsidRPr="006625FB">
              <w:rPr>
                <w:rFonts w:ascii="Arial" w:hAnsi="Arial" w:cs="Arial"/>
                <w:b/>
              </w:rPr>
              <w:t>, please include the following information</w:t>
            </w:r>
            <w:r w:rsidR="00FB6152" w:rsidRPr="006625FB">
              <w:rPr>
                <w:rFonts w:ascii="Arial" w:hAnsi="Arial" w:cs="Arial"/>
                <w:b/>
              </w:rPr>
              <w:t>:</w:t>
            </w:r>
          </w:p>
          <w:p w14:paraId="75EB7869" w14:textId="77777777" w:rsidR="003738C7" w:rsidRDefault="00B46A63" w:rsidP="003738C7">
            <w:pPr>
              <w:tabs>
                <w:tab w:val="left" w:pos="8280"/>
              </w:tabs>
              <w:rPr>
                <w:rFonts w:ascii="Arial" w:hAnsi="Arial" w:cs="Arial"/>
                <w:sz w:val="16"/>
                <w:szCs w:val="16"/>
              </w:rPr>
            </w:pPr>
            <w:r>
              <w:rPr>
                <w:rFonts w:ascii="Arial" w:hAnsi="Arial" w:cs="Arial"/>
                <w:sz w:val="16"/>
                <w:szCs w:val="16"/>
              </w:rPr>
              <w:t xml:space="preserve">Please note: </w:t>
            </w:r>
            <w:r w:rsidR="0059753E" w:rsidRPr="0059753E">
              <w:rPr>
                <w:rFonts w:ascii="Arial" w:hAnsi="Arial" w:cs="Arial"/>
                <w:sz w:val="16"/>
                <w:szCs w:val="16"/>
              </w:rPr>
              <w:t xml:space="preserve">The legal tests for when </w:t>
            </w:r>
            <w:r w:rsidR="00B32E7F">
              <w:rPr>
                <w:rFonts w:ascii="Arial" w:hAnsi="Arial" w:cs="Arial"/>
                <w:sz w:val="16"/>
                <w:szCs w:val="16"/>
              </w:rPr>
              <w:t>a S106 contribution can be requested</w:t>
            </w:r>
            <w:r w:rsidR="0059753E" w:rsidRPr="0059753E">
              <w:rPr>
                <w:rFonts w:ascii="Arial" w:hAnsi="Arial" w:cs="Arial"/>
                <w:sz w:val="16"/>
                <w:szCs w:val="16"/>
              </w:rPr>
              <w:t xml:space="preserve"> are set out in regulation 122 and 123 of the Community Infrastructure Levy Regulations 2010 </w:t>
            </w:r>
            <w:r w:rsidR="00277156">
              <w:rPr>
                <w:rFonts w:ascii="Arial" w:hAnsi="Arial" w:cs="Arial"/>
                <w:sz w:val="16"/>
                <w:szCs w:val="16"/>
              </w:rPr>
              <w:t>(</w:t>
            </w:r>
            <w:r w:rsidR="0059753E" w:rsidRPr="0059753E">
              <w:rPr>
                <w:rFonts w:ascii="Arial" w:hAnsi="Arial" w:cs="Arial"/>
                <w:sz w:val="16"/>
                <w:szCs w:val="16"/>
              </w:rPr>
              <w:t>as amended</w:t>
            </w:r>
            <w:r w:rsidR="00277156">
              <w:rPr>
                <w:rFonts w:ascii="Arial" w:hAnsi="Arial" w:cs="Arial"/>
                <w:sz w:val="16"/>
                <w:szCs w:val="16"/>
              </w:rPr>
              <w:t>)</w:t>
            </w:r>
            <w:r w:rsidR="0059753E">
              <w:rPr>
                <w:rFonts w:ascii="Arial" w:hAnsi="Arial" w:cs="Arial"/>
                <w:sz w:val="16"/>
                <w:szCs w:val="16"/>
              </w:rPr>
              <w:t>.  The</w:t>
            </w:r>
            <w:r w:rsidR="00391DCB">
              <w:rPr>
                <w:rFonts w:ascii="Arial" w:hAnsi="Arial" w:cs="Arial"/>
                <w:sz w:val="16"/>
                <w:szCs w:val="16"/>
              </w:rPr>
              <w:t xml:space="preserve"> regulations and guidance</w:t>
            </w:r>
            <w:r w:rsidR="0059753E">
              <w:rPr>
                <w:rFonts w:ascii="Arial" w:hAnsi="Arial" w:cs="Arial"/>
                <w:sz w:val="16"/>
                <w:szCs w:val="16"/>
              </w:rPr>
              <w:t xml:space="preserve"> can be viewed here:</w:t>
            </w:r>
            <w:r w:rsidR="0089306F">
              <w:rPr>
                <w:rFonts w:ascii="Arial" w:hAnsi="Arial" w:cs="Arial"/>
                <w:sz w:val="16"/>
                <w:szCs w:val="16"/>
              </w:rPr>
              <w:t xml:space="preserve"> </w:t>
            </w:r>
            <w:hyperlink r:id="rId14" w:history="1">
              <w:r w:rsidR="0089306F" w:rsidRPr="00E90930">
                <w:rPr>
                  <w:rStyle w:val="Hyperlink"/>
                  <w:rFonts w:ascii="Arial" w:hAnsi="Arial" w:cs="Arial"/>
                  <w:sz w:val="16"/>
                  <w:szCs w:val="16"/>
                </w:rPr>
                <w:t>https://www.legislation.gov.uk/ukdsi/2010/9780111492390/regulation/122</w:t>
              </w:r>
            </w:hyperlink>
            <w:r w:rsidR="0089306F">
              <w:rPr>
                <w:rFonts w:ascii="Arial" w:hAnsi="Arial" w:cs="Arial"/>
                <w:sz w:val="16"/>
                <w:szCs w:val="16"/>
              </w:rPr>
              <w:t xml:space="preserve"> and </w:t>
            </w:r>
            <w:r w:rsidR="0059753E">
              <w:rPr>
                <w:rFonts w:ascii="Arial" w:hAnsi="Arial" w:cs="Arial"/>
                <w:sz w:val="16"/>
                <w:szCs w:val="16"/>
              </w:rPr>
              <w:t xml:space="preserve"> </w:t>
            </w:r>
            <w:hyperlink r:id="rId15" w:history="1">
              <w:r w:rsidR="003738C7" w:rsidRPr="00E90930">
                <w:rPr>
                  <w:rStyle w:val="Hyperlink"/>
                  <w:rFonts w:ascii="Arial" w:hAnsi="Arial" w:cs="Arial"/>
                  <w:sz w:val="16"/>
                  <w:szCs w:val="16"/>
                </w:rPr>
                <w:t>https://www.legislation.gov.uk/uksi/2010/948/contents/made</w:t>
              </w:r>
            </w:hyperlink>
            <w:r w:rsidR="003738C7">
              <w:rPr>
                <w:rFonts w:ascii="Arial" w:hAnsi="Arial" w:cs="Arial"/>
                <w:sz w:val="16"/>
                <w:szCs w:val="16"/>
              </w:rPr>
              <w:t xml:space="preserve"> and </w:t>
            </w:r>
          </w:p>
          <w:p w14:paraId="657752FF" w14:textId="77777777" w:rsidR="00BC3A58" w:rsidRDefault="00743020" w:rsidP="004407A6">
            <w:pPr>
              <w:tabs>
                <w:tab w:val="left" w:pos="8280"/>
              </w:tabs>
              <w:jc w:val="both"/>
              <w:rPr>
                <w:rFonts w:ascii="Arial" w:hAnsi="Arial" w:cs="Arial"/>
                <w:sz w:val="16"/>
                <w:szCs w:val="16"/>
              </w:rPr>
            </w:pPr>
            <w:hyperlink r:id="rId16" w:history="1">
              <w:r w:rsidR="003738C7" w:rsidRPr="00E90930">
                <w:rPr>
                  <w:rStyle w:val="Hyperlink"/>
                  <w:rFonts w:ascii="Arial" w:hAnsi="Arial" w:cs="Arial"/>
                  <w:sz w:val="16"/>
                  <w:szCs w:val="16"/>
                </w:rPr>
                <w:t>https://www.gov.uk/guidance/planning-obligations</w:t>
              </w:r>
            </w:hyperlink>
            <w:r w:rsidR="00B46A63">
              <w:rPr>
                <w:rFonts w:ascii="Arial" w:hAnsi="Arial" w:cs="Arial"/>
                <w:sz w:val="16"/>
                <w:szCs w:val="16"/>
              </w:rPr>
              <w:t xml:space="preserve"> </w:t>
            </w:r>
            <w:r w:rsidR="004A4185">
              <w:rPr>
                <w:rFonts w:ascii="Arial" w:hAnsi="Arial" w:cs="Arial"/>
                <w:sz w:val="16"/>
                <w:szCs w:val="16"/>
              </w:rPr>
              <w:t xml:space="preserve">and </w:t>
            </w:r>
          </w:p>
          <w:p w14:paraId="2DB7EE68" w14:textId="77777777" w:rsidR="00B46A63" w:rsidRPr="00EF463B" w:rsidRDefault="00B46A63" w:rsidP="00FE5075">
            <w:pPr>
              <w:tabs>
                <w:tab w:val="left" w:pos="8280"/>
              </w:tabs>
              <w:jc w:val="both"/>
              <w:rPr>
                <w:rFonts w:ascii="Arial" w:hAnsi="Arial" w:cs="Arial"/>
                <w:sz w:val="16"/>
                <w:szCs w:val="16"/>
              </w:rPr>
            </w:pPr>
          </w:p>
          <w:p w14:paraId="0441E998" w14:textId="77777777" w:rsidR="00FE5075" w:rsidRPr="00EF463B" w:rsidRDefault="00FE5075" w:rsidP="00FE5075">
            <w:pPr>
              <w:tabs>
                <w:tab w:val="left" w:pos="8280"/>
              </w:tabs>
              <w:jc w:val="both"/>
              <w:rPr>
                <w:rFonts w:ascii="Arial" w:hAnsi="Arial" w:cs="Arial"/>
                <w:sz w:val="16"/>
                <w:szCs w:val="16"/>
              </w:rPr>
            </w:pPr>
            <w:r w:rsidRPr="00EF463B">
              <w:rPr>
                <w:rFonts w:ascii="Arial" w:hAnsi="Arial" w:cs="Arial"/>
                <w:sz w:val="16"/>
                <w:szCs w:val="16"/>
              </w:rPr>
              <w:t>The tests are:</w:t>
            </w:r>
          </w:p>
          <w:p w14:paraId="6FAB2F94" w14:textId="77777777" w:rsidR="00FE5075" w:rsidRPr="00EF463B" w:rsidRDefault="00FE5075" w:rsidP="00FE5075">
            <w:pPr>
              <w:tabs>
                <w:tab w:val="left" w:pos="8280"/>
              </w:tabs>
              <w:jc w:val="both"/>
              <w:rPr>
                <w:rFonts w:ascii="Arial" w:hAnsi="Arial" w:cs="Arial"/>
                <w:sz w:val="16"/>
                <w:szCs w:val="16"/>
              </w:rPr>
            </w:pPr>
          </w:p>
          <w:p w14:paraId="154D25EC" w14:textId="77777777" w:rsidR="00801E67" w:rsidRPr="00EF463B" w:rsidRDefault="00B46A63" w:rsidP="00801E67">
            <w:pPr>
              <w:pStyle w:val="ListParagraph"/>
              <w:numPr>
                <w:ilvl w:val="0"/>
                <w:numId w:val="4"/>
              </w:numPr>
              <w:tabs>
                <w:tab w:val="left" w:pos="8280"/>
              </w:tabs>
              <w:jc w:val="both"/>
              <w:rPr>
                <w:rFonts w:ascii="Arial" w:hAnsi="Arial" w:cs="Arial"/>
                <w:sz w:val="16"/>
                <w:szCs w:val="16"/>
              </w:rPr>
            </w:pPr>
            <w:r w:rsidRPr="00EF463B">
              <w:rPr>
                <w:rFonts w:ascii="Arial" w:hAnsi="Arial" w:cs="Arial"/>
                <w:sz w:val="16"/>
                <w:szCs w:val="16"/>
              </w:rPr>
              <w:t>N</w:t>
            </w:r>
            <w:r w:rsidR="00FE5075" w:rsidRPr="00EF463B">
              <w:rPr>
                <w:rFonts w:ascii="Arial" w:hAnsi="Arial" w:cs="Arial"/>
                <w:sz w:val="16"/>
                <w:szCs w:val="16"/>
              </w:rPr>
              <w:t xml:space="preserve">ecessary to make the development acceptable in planning </w:t>
            </w:r>
            <w:proofErr w:type="gramStart"/>
            <w:r w:rsidR="00FE5075" w:rsidRPr="00EF463B">
              <w:rPr>
                <w:rFonts w:ascii="Arial" w:hAnsi="Arial" w:cs="Arial"/>
                <w:sz w:val="16"/>
                <w:szCs w:val="16"/>
              </w:rPr>
              <w:t>terms;</w:t>
            </w:r>
            <w:proofErr w:type="gramEnd"/>
            <w:r w:rsidR="00FE5075" w:rsidRPr="00EF463B">
              <w:rPr>
                <w:rFonts w:ascii="Arial" w:hAnsi="Arial" w:cs="Arial"/>
                <w:sz w:val="16"/>
                <w:szCs w:val="16"/>
              </w:rPr>
              <w:t xml:space="preserve"> </w:t>
            </w:r>
          </w:p>
          <w:p w14:paraId="4BB48A9A" w14:textId="77777777" w:rsidR="00801E67" w:rsidRPr="00EF463B" w:rsidRDefault="00EF463B" w:rsidP="00801E67">
            <w:pPr>
              <w:pStyle w:val="ListParagraph"/>
              <w:numPr>
                <w:ilvl w:val="0"/>
                <w:numId w:val="4"/>
              </w:numPr>
              <w:tabs>
                <w:tab w:val="left" w:pos="8280"/>
              </w:tabs>
              <w:jc w:val="both"/>
              <w:rPr>
                <w:rFonts w:ascii="Arial" w:hAnsi="Arial" w:cs="Arial"/>
                <w:sz w:val="16"/>
                <w:szCs w:val="16"/>
              </w:rPr>
            </w:pPr>
            <w:r>
              <w:rPr>
                <w:rFonts w:ascii="Arial" w:hAnsi="Arial" w:cs="Arial"/>
                <w:sz w:val="16"/>
                <w:szCs w:val="16"/>
              </w:rPr>
              <w:t>D</w:t>
            </w:r>
            <w:r w:rsidR="00FE5075" w:rsidRPr="00EF463B">
              <w:rPr>
                <w:rFonts w:ascii="Arial" w:hAnsi="Arial" w:cs="Arial"/>
                <w:sz w:val="16"/>
                <w:szCs w:val="16"/>
              </w:rPr>
              <w:t>irectly related to the development; and</w:t>
            </w:r>
          </w:p>
          <w:p w14:paraId="683614CD" w14:textId="77777777" w:rsidR="00FE5075" w:rsidRPr="00EF463B" w:rsidRDefault="00EF463B" w:rsidP="00801E67">
            <w:pPr>
              <w:pStyle w:val="ListParagraph"/>
              <w:numPr>
                <w:ilvl w:val="0"/>
                <w:numId w:val="4"/>
              </w:numPr>
              <w:tabs>
                <w:tab w:val="left" w:pos="8280"/>
              </w:tabs>
              <w:jc w:val="both"/>
              <w:rPr>
                <w:rFonts w:ascii="Arial" w:hAnsi="Arial" w:cs="Arial"/>
                <w:sz w:val="16"/>
                <w:szCs w:val="16"/>
              </w:rPr>
            </w:pPr>
            <w:r>
              <w:rPr>
                <w:rFonts w:ascii="Arial" w:hAnsi="Arial" w:cs="Arial"/>
                <w:sz w:val="16"/>
                <w:szCs w:val="16"/>
              </w:rPr>
              <w:t>F</w:t>
            </w:r>
            <w:r w:rsidR="00FE5075" w:rsidRPr="00EF463B">
              <w:rPr>
                <w:rFonts w:ascii="Arial" w:hAnsi="Arial" w:cs="Arial"/>
                <w:sz w:val="16"/>
                <w:szCs w:val="16"/>
              </w:rPr>
              <w:t>airly and reasonably related in scale and kind to the development.</w:t>
            </w:r>
          </w:p>
          <w:p w14:paraId="7DC8FB06" w14:textId="77777777" w:rsidR="006625FB" w:rsidRPr="006625FB" w:rsidRDefault="006625FB" w:rsidP="004407A6">
            <w:pPr>
              <w:tabs>
                <w:tab w:val="left" w:pos="8280"/>
              </w:tabs>
              <w:jc w:val="both"/>
              <w:rPr>
                <w:rFonts w:ascii="Arial" w:hAnsi="Arial" w:cs="Arial"/>
                <w:b/>
              </w:rPr>
            </w:pPr>
          </w:p>
        </w:tc>
      </w:tr>
      <w:tr w:rsidR="0074312D" w:rsidRPr="006625FB" w14:paraId="4161B0D2" w14:textId="77777777" w:rsidTr="36426CD8">
        <w:trPr>
          <w:gridAfter w:val="1"/>
          <w:wAfter w:w="596" w:type="dxa"/>
          <w:trHeight w:val="385"/>
        </w:trPr>
        <w:tc>
          <w:tcPr>
            <w:tcW w:w="3964" w:type="dxa"/>
            <w:shd w:val="clear" w:color="auto" w:fill="auto"/>
          </w:tcPr>
          <w:p w14:paraId="6734901C" w14:textId="77777777" w:rsidR="0074312D" w:rsidRPr="006625FB" w:rsidRDefault="0046025E" w:rsidP="0046025E">
            <w:pPr>
              <w:pStyle w:val="ListParagraph"/>
              <w:numPr>
                <w:ilvl w:val="0"/>
                <w:numId w:val="1"/>
              </w:numPr>
              <w:tabs>
                <w:tab w:val="left" w:pos="8280"/>
              </w:tabs>
              <w:jc w:val="both"/>
              <w:rPr>
                <w:rFonts w:ascii="Arial" w:hAnsi="Arial" w:cs="Arial"/>
              </w:rPr>
            </w:pPr>
            <w:r w:rsidRPr="006625FB">
              <w:rPr>
                <w:rFonts w:ascii="Arial" w:hAnsi="Arial" w:cs="Arial"/>
              </w:rPr>
              <w:t xml:space="preserve">Contribution </w:t>
            </w:r>
            <w:r w:rsidR="00FB6152" w:rsidRPr="006625FB">
              <w:rPr>
                <w:rFonts w:ascii="Arial" w:hAnsi="Arial" w:cs="Arial"/>
              </w:rPr>
              <w:t>description</w:t>
            </w:r>
          </w:p>
        </w:tc>
        <w:tc>
          <w:tcPr>
            <w:tcW w:w="5358" w:type="dxa"/>
            <w:gridSpan w:val="2"/>
            <w:shd w:val="clear" w:color="auto" w:fill="auto"/>
          </w:tcPr>
          <w:p w14:paraId="66896E84" w14:textId="77777777" w:rsidR="0074312D" w:rsidRPr="00AB3034" w:rsidRDefault="0074312D" w:rsidP="004407A6">
            <w:pPr>
              <w:tabs>
                <w:tab w:val="left" w:pos="8280"/>
              </w:tabs>
              <w:jc w:val="both"/>
              <w:rPr>
                <w:rFonts w:ascii="Arial" w:hAnsi="Arial" w:cs="Arial"/>
              </w:rPr>
            </w:pPr>
          </w:p>
        </w:tc>
      </w:tr>
      <w:tr w:rsidR="0074312D" w:rsidRPr="006625FB" w14:paraId="498D6E4A" w14:textId="77777777" w:rsidTr="36426CD8">
        <w:trPr>
          <w:gridAfter w:val="1"/>
          <w:wAfter w:w="596" w:type="dxa"/>
          <w:trHeight w:val="419"/>
        </w:trPr>
        <w:tc>
          <w:tcPr>
            <w:tcW w:w="3964" w:type="dxa"/>
            <w:shd w:val="clear" w:color="auto" w:fill="auto"/>
          </w:tcPr>
          <w:p w14:paraId="5BC92D39" w14:textId="77777777" w:rsidR="0074312D" w:rsidRPr="006625FB" w:rsidRDefault="0046025E" w:rsidP="00250718">
            <w:pPr>
              <w:pStyle w:val="ListParagraph"/>
              <w:numPr>
                <w:ilvl w:val="0"/>
                <w:numId w:val="1"/>
              </w:numPr>
              <w:tabs>
                <w:tab w:val="left" w:pos="8280"/>
              </w:tabs>
              <w:rPr>
                <w:rFonts w:ascii="Arial" w:hAnsi="Arial" w:cs="Arial"/>
              </w:rPr>
            </w:pPr>
            <w:r w:rsidRPr="006625FB">
              <w:rPr>
                <w:rFonts w:ascii="Arial" w:hAnsi="Arial" w:cs="Arial"/>
              </w:rPr>
              <w:t>Contribution amount £</w:t>
            </w:r>
            <w:r w:rsidR="00FB6152" w:rsidRPr="006625FB">
              <w:rPr>
                <w:rFonts w:ascii="Arial" w:hAnsi="Arial" w:cs="Arial"/>
              </w:rPr>
              <w:t xml:space="preserve"> (if applicable)</w:t>
            </w:r>
            <w:r w:rsidR="00E316F3" w:rsidRPr="006625FB">
              <w:rPr>
                <w:rFonts w:ascii="Arial" w:hAnsi="Arial" w:cs="Arial"/>
              </w:rPr>
              <w:t>.  Please provide justification.</w:t>
            </w:r>
          </w:p>
        </w:tc>
        <w:tc>
          <w:tcPr>
            <w:tcW w:w="5358" w:type="dxa"/>
            <w:gridSpan w:val="2"/>
            <w:shd w:val="clear" w:color="auto" w:fill="auto"/>
          </w:tcPr>
          <w:p w14:paraId="4FD8C1BE" w14:textId="77777777" w:rsidR="0074312D" w:rsidRPr="00AB3034" w:rsidRDefault="0074312D" w:rsidP="004407A6">
            <w:pPr>
              <w:tabs>
                <w:tab w:val="left" w:pos="8280"/>
              </w:tabs>
              <w:jc w:val="both"/>
              <w:rPr>
                <w:rFonts w:ascii="Arial" w:hAnsi="Arial" w:cs="Arial"/>
              </w:rPr>
            </w:pPr>
          </w:p>
        </w:tc>
      </w:tr>
      <w:tr w:rsidR="0046025E" w:rsidRPr="006625FB" w14:paraId="0F397EA9" w14:textId="77777777" w:rsidTr="36426CD8">
        <w:trPr>
          <w:gridAfter w:val="1"/>
          <w:wAfter w:w="596" w:type="dxa"/>
          <w:trHeight w:val="1335"/>
        </w:trPr>
        <w:tc>
          <w:tcPr>
            <w:tcW w:w="3964" w:type="dxa"/>
            <w:shd w:val="clear" w:color="auto" w:fill="auto"/>
          </w:tcPr>
          <w:p w14:paraId="51CCE5AC" w14:textId="77777777" w:rsidR="0046025E" w:rsidRPr="006625FB" w:rsidRDefault="0046025E" w:rsidP="00250718">
            <w:pPr>
              <w:pStyle w:val="ListParagraph"/>
              <w:numPr>
                <w:ilvl w:val="0"/>
                <w:numId w:val="1"/>
              </w:numPr>
              <w:tabs>
                <w:tab w:val="left" w:pos="8280"/>
              </w:tabs>
              <w:rPr>
                <w:rFonts w:ascii="Arial" w:hAnsi="Arial" w:cs="Arial"/>
              </w:rPr>
            </w:pPr>
            <w:r w:rsidRPr="006625FB">
              <w:rPr>
                <w:rFonts w:ascii="Arial" w:hAnsi="Arial" w:cs="Arial"/>
              </w:rPr>
              <w:t>Trigger point</w:t>
            </w:r>
            <w:r w:rsidR="00FB6152" w:rsidRPr="006625FB">
              <w:rPr>
                <w:rFonts w:ascii="Arial" w:hAnsi="Arial" w:cs="Arial"/>
              </w:rPr>
              <w:t xml:space="preserve"> for payment</w:t>
            </w:r>
            <w:r w:rsidRPr="006625FB">
              <w:rPr>
                <w:rFonts w:ascii="Arial" w:hAnsi="Arial" w:cs="Arial"/>
              </w:rPr>
              <w:t xml:space="preserve"> (i.e. upon commencement of development, upon first occupation, upon 50% occupation…)</w:t>
            </w:r>
          </w:p>
        </w:tc>
        <w:tc>
          <w:tcPr>
            <w:tcW w:w="5358" w:type="dxa"/>
            <w:gridSpan w:val="2"/>
            <w:shd w:val="clear" w:color="auto" w:fill="auto"/>
          </w:tcPr>
          <w:p w14:paraId="3C93DAB1" w14:textId="77777777" w:rsidR="0046025E" w:rsidRPr="00AB3034" w:rsidRDefault="0046025E" w:rsidP="004407A6">
            <w:pPr>
              <w:tabs>
                <w:tab w:val="left" w:pos="8280"/>
              </w:tabs>
              <w:jc w:val="both"/>
              <w:rPr>
                <w:rFonts w:ascii="Arial" w:hAnsi="Arial" w:cs="Arial"/>
              </w:rPr>
            </w:pPr>
          </w:p>
        </w:tc>
      </w:tr>
      <w:tr w:rsidR="004715C1" w:rsidRPr="006625FB" w14:paraId="66A3C195" w14:textId="77777777" w:rsidTr="36426CD8">
        <w:trPr>
          <w:gridAfter w:val="1"/>
          <w:wAfter w:w="596" w:type="dxa"/>
          <w:trHeight w:val="1335"/>
        </w:trPr>
        <w:tc>
          <w:tcPr>
            <w:tcW w:w="3964" w:type="dxa"/>
            <w:shd w:val="clear" w:color="auto" w:fill="auto"/>
          </w:tcPr>
          <w:p w14:paraId="2BBCE260" w14:textId="77777777" w:rsidR="004715C1" w:rsidRPr="006625FB" w:rsidRDefault="004715C1" w:rsidP="00250718">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358" w:type="dxa"/>
            <w:gridSpan w:val="2"/>
            <w:shd w:val="clear" w:color="auto" w:fill="auto"/>
          </w:tcPr>
          <w:p w14:paraId="08455392" w14:textId="77777777" w:rsidR="004715C1" w:rsidRPr="00AB3034" w:rsidRDefault="004715C1" w:rsidP="004407A6">
            <w:pPr>
              <w:tabs>
                <w:tab w:val="left" w:pos="8280"/>
              </w:tabs>
              <w:jc w:val="both"/>
              <w:rPr>
                <w:rFonts w:ascii="Arial" w:hAnsi="Arial" w:cs="Arial"/>
              </w:rPr>
            </w:pPr>
          </w:p>
        </w:tc>
      </w:tr>
    </w:tbl>
    <w:p w14:paraId="33465E27" w14:textId="77777777" w:rsidR="00416769" w:rsidRPr="006625FB" w:rsidRDefault="00416769" w:rsidP="6F0B6139">
      <w:pPr>
        <w:jc w:val="both"/>
        <w:rPr>
          <w:rFonts w:ascii="Arial" w:hAnsi="Arial" w:cs="Arial"/>
        </w:rPr>
        <w:sectPr w:rsidR="00416769" w:rsidRPr="006625FB" w:rsidSect="00416769">
          <w:footerReference w:type="default" r:id="rId17"/>
          <w:pgSz w:w="11906" w:h="16838" w:code="9"/>
          <w:pgMar w:top="142" w:right="866" w:bottom="1440" w:left="1080" w:header="706" w:footer="706" w:gutter="0"/>
          <w:pgNumType w:start="1"/>
          <w:cols w:space="708"/>
          <w:docGrid w:linePitch="360"/>
        </w:sectPr>
      </w:pPr>
    </w:p>
    <w:p w14:paraId="2D96BCA9" w14:textId="77777777" w:rsidR="00416769" w:rsidRPr="006625FB" w:rsidRDefault="00416769">
      <w:pPr>
        <w:rPr>
          <w:rFonts w:ascii="Arial" w:hAnsi="Arial" w:cs="Arial"/>
        </w:rPr>
      </w:pPr>
    </w:p>
    <w:sectPr w:rsidR="00416769" w:rsidRPr="006625FB" w:rsidSect="00416769">
      <w:footerReference w:type="default" r:id="rId18"/>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E1E0" w14:textId="77777777" w:rsidR="00A61BA7" w:rsidRDefault="00A61BA7">
      <w:r>
        <w:separator/>
      </w:r>
    </w:p>
  </w:endnote>
  <w:endnote w:type="continuationSeparator" w:id="0">
    <w:p w14:paraId="76A31333" w14:textId="77777777" w:rsidR="00A61BA7" w:rsidRDefault="00A6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Varela Rou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14:paraId="39CC59C9" w14:textId="77777777"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B9051A">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B9051A">
              <w:rPr>
                <w:rFonts w:ascii="Arial" w:hAnsi="Arial" w:cs="Arial"/>
                <w:b/>
                <w:bCs/>
                <w:noProof/>
                <w:sz w:val="20"/>
                <w:szCs w:val="20"/>
              </w:rPr>
              <w:t>2</w:t>
            </w:r>
            <w:r w:rsidRPr="00FB6152">
              <w:rPr>
                <w:rFonts w:ascii="Arial" w:hAnsi="Arial" w:cs="Arial"/>
                <w:b/>
                <w:bCs/>
                <w:sz w:val="20"/>
                <w:szCs w:val="20"/>
              </w:rPr>
              <w:fldChar w:fldCharType="end"/>
            </w:r>
          </w:p>
        </w:sdtContent>
      </w:sdt>
    </w:sdtContent>
  </w:sdt>
  <w:p w14:paraId="6F9D4431" w14:textId="77777777"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BEC9" w14:textId="77777777"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BD0518" w:rsidRPr="00BD0518">
      <w:rPr>
        <w:b/>
        <w:bCs/>
        <w:noProof/>
      </w:rPr>
      <w:t>2</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14:paraId="3BF616B0" w14:textId="77777777" w:rsidR="003345A2" w:rsidRDefault="0074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659B" w14:textId="77777777" w:rsidR="00A61BA7" w:rsidRDefault="00A61BA7">
      <w:r>
        <w:separator/>
      </w:r>
    </w:p>
  </w:footnote>
  <w:footnote w:type="continuationSeparator" w:id="0">
    <w:p w14:paraId="00B8A9A2" w14:textId="77777777" w:rsidR="00A61BA7" w:rsidRDefault="00A61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30"/>
    <w:multiLevelType w:val="hybridMultilevel"/>
    <w:tmpl w:val="96747A44"/>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66737A"/>
    <w:multiLevelType w:val="hybridMultilevel"/>
    <w:tmpl w:val="CAB8AA4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5C2BDE"/>
    <w:multiLevelType w:val="hybridMultilevel"/>
    <w:tmpl w:val="57F0E57A"/>
    <w:lvl w:ilvl="0" w:tplc="08090001">
      <w:start w:val="1"/>
      <w:numFmt w:val="bullet"/>
      <w:lvlText w:val=""/>
      <w:lvlJc w:val="left"/>
      <w:pPr>
        <w:ind w:left="633" w:hanging="360"/>
      </w:pPr>
      <w:rPr>
        <w:rFonts w:ascii="Symbol" w:hAnsi="Symbol" w:hint="default"/>
      </w:rPr>
    </w:lvl>
    <w:lvl w:ilvl="1" w:tplc="08090003" w:tentative="1">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3" w15:restartNumberingAfterBreak="0">
    <w:nsid w:val="066A4296"/>
    <w:multiLevelType w:val="hybridMultilevel"/>
    <w:tmpl w:val="559E12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E4825"/>
    <w:multiLevelType w:val="hybridMultilevel"/>
    <w:tmpl w:val="6FA81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664FA9"/>
    <w:multiLevelType w:val="hybridMultilevel"/>
    <w:tmpl w:val="85BAB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01B85"/>
    <w:multiLevelType w:val="hybridMultilevel"/>
    <w:tmpl w:val="0AEEC566"/>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8F8718B"/>
    <w:multiLevelType w:val="hybridMultilevel"/>
    <w:tmpl w:val="60B202A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E6798"/>
    <w:multiLevelType w:val="hybridMultilevel"/>
    <w:tmpl w:val="FA0C5A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34016"/>
    <w:multiLevelType w:val="hybridMultilevel"/>
    <w:tmpl w:val="8D207BF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A97AAA"/>
    <w:multiLevelType w:val="hybridMultilevel"/>
    <w:tmpl w:val="5F221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F15A0"/>
    <w:multiLevelType w:val="hybridMultilevel"/>
    <w:tmpl w:val="BCC68C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1EE3"/>
    <w:multiLevelType w:val="hybridMultilevel"/>
    <w:tmpl w:val="20746C9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30666C7"/>
    <w:multiLevelType w:val="hybridMultilevel"/>
    <w:tmpl w:val="55E6BB74"/>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51558A7"/>
    <w:multiLevelType w:val="hybridMultilevel"/>
    <w:tmpl w:val="82E292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4C1A43"/>
    <w:multiLevelType w:val="hybridMultilevel"/>
    <w:tmpl w:val="6A10891E"/>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73D7BCD"/>
    <w:multiLevelType w:val="hybridMultilevel"/>
    <w:tmpl w:val="5A00344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9" w15:restartNumberingAfterBreak="0">
    <w:nsid w:val="5CD46B2B"/>
    <w:multiLevelType w:val="hybridMultilevel"/>
    <w:tmpl w:val="585E8D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B2FF6"/>
    <w:multiLevelType w:val="hybridMultilevel"/>
    <w:tmpl w:val="B7560308"/>
    <w:lvl w:ilvl="0" w:tplc="C25CC3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A425D7"/>
    <w:multiLevelType w:val="hybridMultilevel"/>
    <w:tmpl w:val="C70A5C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238F"/>
    <w:multiLevelType w:val="hybridMultilevel"/>
    <w:tmpl w:val="E12ACD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B1F7D"/>
    <w:multiLevelType w:val="hybridMultilevel"/>
    <w:tmpl w:val="60784C96"/>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A2C4231"/>
    <w:multiLevelType w:val="hybridMultilevel"/>
    <w:tmpl w:val="42D65A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D03C1"/>
    <w:multiLevelType w:val="hybridMultilevel"/>
    <w:tmpl w:val="7304E3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8"/>
  </w:num>
  <w:num w:numId="5">
    <w:abstractNumId w:val="26"/>
  </w:num>
  <w:num w:numId="6">
    <w:abstractNumId w:val="3"/>
  </w:num>
  <w:num w:numId="7">
    <w:abstractNumId w:val="26"/>
  </w:num>
  <w:num w:numId="8">
    <w:abstractNumId w:val="5"/>
  </w:num>
  <w:num w:numId="9">
    <w:abstractNumId w:val="26"/>
  </w:num>
  <w:num w:numId="10">
    <w:abstractNumId w:val="19"/>
  </w:num>
  <w:num w:numId="11">
    <w:abstractNumId w:val="26"/>
  </w:num>
  <w:num w:numId="12">
    <w:abstractNumId w:val="25"/>
  </w:num>
  <w:num w:numId="13">
    <w:abstractNumId w:val="26"/>
  </w:num>
  <w:num w:numId="14">
    <w:abstractNumId w:val="16"/>
  </w:num>
  <w:num w:numId="15">
    <w:abstractNumId w:val="26"/>
  </w:num>
  <w:num w:numId="16">
    <w:abstractNumId w:val="22"/>
  </w:num>
  <w:num w:numId="17">
    <w:abstractNumId w:val="26"/>
  </w:num>
  <w:num w:numId="18">
    <w:abstractNumId w:val="26"/>
  </w:num>
  <w:num w:numId="19">
    <w:abstractNumId w:val="13"/>
  </w:num>
  <w:num w:numId="20">
    <w:abstractNumId w:val="26"/>
  </w:num>
  <w:num w:numId="21">
    <w:abstractNumId w:val="23"/>
  </w:num>
  <w:num w:numId="22">
    <w:abstractNumId w:val="26"/>
  </w:num>
  <w:num w:numId="23">
    <w:abstractNumId w:val="26"/>
  </w:num>
  <w:num w:numId="24">
    <w:abstractNumId w:val="21"/>
  </w:num>
  <w:num w:numId="25">
    <w:abstractNumId w:val="26"/>
  </w:num>
  <w:num w:numId="26">
    <w:abstractNumId w:val="7"/>
  </w:num>
  <w:num w:numId="27">
    <w:abstractNumId w:val="1"/>
  </w:num>
  <w:num w:numId="28">
    <w:abstractNumId w:val="26"/>
  </w:num>
  <w:num w:numId="29">
    <w:abstractNumId w:val="14"/>
  </w:num>
  <w:num w:numId="30">
    <w:abstractNumId w:val="26"/>
  </w:num>
  <w:num w:numId="31">
    <w:abstractNumId w:val="26"/>
  </w:num>
  <w:num w:numId="32">
    <w:abstractNumId w:val="17"/>
  </w:num>
  <w:num w:numId="33">
    <w:abstractNumId w:val="26"/>
  </w:num>
  <w:num w:numId="34">
    <w:abstractNumId w:val="24"/>
  </w:num>
  <w:num w:numId="35">
    <w:abstractNumId w:val="26"/>
  </w:num>
  <w:num w:numId="36">
    <w:abstractNumId w:val="6"/>
  </w:num>
  <w:num w:numId="37">
    <w:abstractNumId w:val="0"/>
  </w:num>
  <w:num w:numId="38">
    <w:abstractNumId w:val="26"/>
  </w:num>
  <w:num w:numId="39">
    <w:abstractNumId w:val="10"/>
  </w:num>
  <w:num w:numId="40">
    <w:abstractNumId w:val="15"/>
  </w:num>
  <w:num w:numId="41">
    <w:abstractNumId w:val="26"/>
  </w:num>
  <w:num w:numId="42">
    <w:abstractNumId w:val="4"/>
  </w:num>
  <w:num w:numId="43">
    <w:abstractNumId w:val="11"/>
  </w:num>
  <w:num w:numId="44">
    <w:abstractNumId w:val="18"/>
  </w:num>
  <w:num w:numId="45">
    <w:abstractNumId w:val="9"/>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96"/>
    <w:rsid w:val="00010082"/>
    <w:rsid w:val="00014286"/>
    <w:rsid w:val="00055353"/>
    <w:rsid w:val="0006113B"/>
    <w:rsid w:val="00073329"/>
    <w:rsid w:val="00086D10"/>
    <w:rsid w:val="00093F25"/>
    <w:rsid w:val="00094EA9"/>
    <w:rsid w:val="000972C3"/>
    <w:rsid w:val="000A2802"/>
    <w:rsid w:val="000A3DFF"/>
    <w:rsid w:val="000D4043"/>
    <w:rsid w:val="001224DA"/>
    <w:rsid w:val="001303B5"/>
    <w:rsid w:val="00147DF3"/>
    <w:rsid w:val="001540B6"/>
    <w:rsid w:val="00162DED"/>
    <w:rsid w:val="00163BAD"/>
    <w:rsid w:val="001B2E4A"/>
    <w:rsid w:val="001C62BF"/>
    <w:rsid w:val="001D406D"/>
    <w:rsid w:val="001F5F61"/>
    <w:rsid w:val="0020564F"/>
    <w:rsid w:val="002226A9"/>
    <w:rsid w:val="0022308B"/>
    <w:rsid w:val="0023776A"/>
    <w:rsid w:val="00250718"/>
    <w:rsid w:val="00252A33"/>
    <w:rsid w:val="002657AD"/>
    <w:rsid w:val="00276150"/>
    <w:rsid w:val="00277156"/>
    <w:rsid w:val="002A2C99"/>
    <w:rsid w:val="002B0AC8"/>
    <w:rsid w:val="002B0C38"/>
    <w:rsid w:val="002B3EAA"/>
    <w:rsid w:val="002B6A42"/>
    <w:rsid w:val="002F29A4"/>
    <w:rsid w:val="003022EC"/>
    <w:rsid w:val="00304927"/>
    <w:rsid w:val="00307711"/>
    <w:rsid w:val="00327F88"/>
    <w:rsid w:val="00336A00"/>
    <w:rsid w:val="0035420D"/>
    <w:rsid w:val="003738C7"/>
    <w:rsid w:val="0038144B"/>
    <w:rsid w:val="00391DCB"/>
    <w:rsid w:val="0039282E"/>
    <w:rsid w:val="0039582E"/>
    <w:rsid w:val="003D28D8"/>
    <w:rsid w:val="003E45E9"/>
    <w:rsid w:val="003F7041"/>
    <w:rsid w:val="00416769"/>
    <w:rsid w:val="00440520"/>
    <w:rsid w:val="00447520"/>
    <w:rsid w:val="0046025E"/>
    <w:rsid w:val="004715C1"/>
    <w:rsid w:val="00495B20"/>
    <w:rsid w:val="004A3CA4"/>
    <w:rsid w:val="004A4185"/>
    <w:rsid w:val="004C0EE6"/>
    <w:rsid w:val="004D349B"/>
    <w:rsid w:val="004D390B"/>
    <w:rsid w:val="004F5426"/>
    <w:rsid w:val="0050465B"/>
    <w:rsid w:val="00516295"/>
    <w:rsid w:val="00527C00"/>
    <w:rsid w:val="0056018A"/>
    <w:rsid w:val="005644DA"/>
    <w:rsid w:val="005756E3"/>
    <w:rsid w:val="0059753E"/>
    <w:rsid w:val="00597E6B"/>
    <w:rsid w:val="005A6EF7"/>
    <w:rsid w:val="005A73C2"/>
    <w:rsid w:val="005C20CE"/>
    <w:rsid w:val="005D1BE6"/>
    <w:rsid w:val="005D547C"/>
    <w:rsid w:val="005D5B4F"/>
    <w:rsid w:val="00621A09"/>
    <w:rsid w:val="0062469C"/>
    <w:rsid w:val="00635272"/>
    <w:rsid w:val="006625FB"/>
    <w:rsid w:val="0068087C"/>
    <w:rsid w:val="00686FE1"/>
    <w:rsid w:val="006A30C8"/>
    <w:rsid w:val="006B238F"/>
    <w:rsid w:val="006B65A1"/>
    <w:rsid w:val="006E025F"/>
    <w:rsid w:val="006E6D75"/>
    <w:rsid w:val="006E7C11"/>
    <w:rsid w:val="006F3154"/>
    <w:rsid w:val="0070145B"/>
    <w:rsid w:val="00743020"/>
    <w:rsid w:val="0074312D"/>
    <w:rsid w:val="0074420D"/>
    <w:rsid w:val="00755119"/>
    <w:rsid w:val="007A18F2"/>
    <w:rsid w:val="00801E67"/>
    <w:rsid w:val="008102FC"/>
    <w:rsid w:val="00830520"/>
    <w:rsid w:val="008351A6"/>
    <w:rsid w:val="0085275E"/>
    <w:rsid w:val="008611C8"/>
    <w:rsid w:val="00861969"/>
    <w:rsid w:val="008746F4"/>
    <w:rsid w:val="00890D36"/>
    <w:rsid w:val="0089306F"/>
    <w:rsid w:val="008B7766"/>
    <w:rsid w:val="008C116E"/>
    <w:rsid w:val="008C3D0C"/>
    <w:rsid w:val="008D3A2D"/>
    <w:rsid w:val="008E4A2F"/>
    <w:rsid w:val="008F293B"/>
    <w:rsid w:val="00912873"/>
    <w:rsid w:val="0092339C"/>
    <w:rsid w:val="00927C7E"/>
    <w:rsid w:val="00943DA0"/>
    <w:rsid w:val="009556DD"/>
    <w:rsid w:val="009755A1"/>
    <w:rsid w:val="00992F37"/>
    <w:rsid w:val="009C10B7"/>
    <w:rsid w:val="009C42BE"/>
    <w:rsid w:val="009C4F3F"/>
    <w:rsid w:val="009D3C51"/>
    <w:rsid w:val="009F4362"/>
    <w:rsid w:val="009F4916"/>
    <w:rsid w:val="00A073CB"/>
    <w:rsid w:val="00A12224"/>
    <w:rsid w:val="00A12578"/>
    <w:rsid w:val="00A201FB"/>
    <w:rsid w:val="00A3017E"/>
    <w:rsid w:val="00A32222"/>
    <w:rsid w:val="00A50CC7"/>
    <w:rsid w:val="00A5378D"/>
    <w:rsid w:val="00A61BA7"/>
    <w:rsid w:val="00A734CD"/>
    <w:rsid w:val="00A8165C"/>
    <w:rsid w:val="00A87CA2"/>
    <w:rsid w:val="00A91587"/>
    <w:rsid w:val="00A92529"/>
    <w:rsid w:val="00AA328C"/>
    <w:rsid w:val="00AB3034"/>
    <w:rsid w:val="00AB72EA"/>
    <w:rsid w:val="00AF5172"/>
    <w:rsid w:val="00B035D7"/>
    <w:rsid w:val="00B07DFF"/>
    <w:rsid w:val="00B131F8"/>
    <w:rsid w:val="00B24D1A"/>
    <w:rsid w:val="00B30D96"/>
    <w:rsid w:val="00B32E7F"/>
    <w:rsid w:val="00B3429B"/>
    <w:rsid w:val="00B46676"/>
    <w:rsid w:val="00B46A63"/>
    <w:rsid w:val="00B47396"/>
    <w:rsid w:val="00B80D67"/>
    <w:rsid w:val="00B9051A"/>
    <w:rsid w:val="00BA4755"/>
    <w:rsid w:val="00BC3A58"/>
    <w:rsid w:val="00BD0518"/>
    <w:rsid w:val="00BD7F6C"/>
    <w:rsid w:val="00C02255"/>
    <w:rsid w:val="00C13A45"/>
    <w:rsid w:val="00C148D5"/>
    <w:rsid w:val="00C2703D"/>
    <w:rsid w:val="00C30619"/>
    <w:rsid w:val="00C41D6A"/>
    <w:rsid w:val="00C42BED"/>
    <w:rsid w:val="00C54286"/>
    <w:rsid w:val="00C70112"/>
    <w:rsid w:val="00C7609A"/>
    <w:rsid w:val="00C764FC"/>
    <w:rsid w:val="00C774E8"/>
    <w:rsid w:val="00CA0ED4"/>
    <w:rsid w:val="00CD6323"/>
    <w:rsid w:val="00CE70D3"/>
    <w:rsid w:val="00D364C7"/>
    <w:rsid w:val="00D46CC2"/>
    <w:rsid w:val="00D5565F"/>
    <w:rsid w:val="00D6243E"/>
    <w:rsid w:val="00D66D0F"/>
    <w:rsid w:val="00D67E81"/>
    <w:rsid w:val="00DB27DB"/>
    <w:rsid w:val="00DC32C0"/>
    <w:rsid w:val="00DC7719"/>
    <w:rsid w:val="00DD276D"/>
    <w:rsid w:val="00DD4D7C"/>
    <w:rsid w:val="00E250B6"/>
    <w:rsid w:val="00E316F3"/>
    <w:rsid w:val="00E34EBB"/>
    <w:rsid w:val="00E413DB"/>
    <w:rsid w:val="00ED0800"/>
    <w:rsid w:val="00ED481E"/>
    <w:rsid w:val="00EF0AD1"/>
    <w:rsid w:val="00EF463B"/>
    <w:rsid w:val="00F25084"/>
    <w:rsid w:val="00F34F93"/>
    <w:rsid w:val="00F55F6E"/>
    <w:rsid w:val="00F756A9"/>
    <w:rsid w:val="00F83942"/>
    <w:rsid w:val="00F9623B"/>
    <w:rsid w:val="00FA3821"/>
    <w:rsid w:val="00FA59ED"/>
    <w:rsid w:val="00FB3D1A"/>
    <w:rsid w:val="00FB6152"/>
    <w:rsid w:val="00FC5FD2"/>
    <w:rsid w:val="00FE5075"/>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BBED"/>
  <w15:chartTrackingRefBased/>
  <w15:docId w15:val="{6E0D48E8-9B59-4690-9DA3-5570DA3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014286"/>
    <w:pPr>
      <w:spacing w:after="0" w:line="240" w:lineRule="auto"/>
    </w:p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D6243E"/>
    <w:pPr>
      <w:spacing w:after="0" w:line="240" w:lineRule="auto"/>
    </w:pPr>
  </w:style>
  <w:style w:type="character" w:customStyle="1" w:styleId="casenumber">
    <w:name w:val="casenumber"/>
    <w:basedOn w:val="DefaultParagraphFont"/>
    <w:rsid w:val="00F8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879">
      <w:bodyDiv w:val="1"/>
      <w:marLeft w:val="0"/>
      <w:marRight w:val="0"/>
      <w:marTop w:val="0"/>
      <w:marBottom w:val="0"/>
      <w:divBdr>
        <w:top w:val="none" w:sz="0" w:space="0" w:color="auto"/>
        <w:left w:val="none" w:sz="0" w:space="0" w:color="auto"/>
        <w:bottom w:val="none" w:sz="0" w:space="0" w:color="auto"/>
        <w:right w:val="none" w:sz="0" w:space="0" w:color="auto"/>
      </w:divBdr>
    </w:div>
    <w:div w:id="55705836">
      <w:bodyDiv w:val="1"/>
      <w:marLeft w:val="0"/>
      <w:marRight w:val="0"/>
      <w:marTop w:val="0"/>
      <w:marBottom w:val="0"/>
      <w:divBdr>
        <w:top w:val="none" w:sz="0" w:space="0" w:color="auto"/>
        <w:left w:val="none" w:sz="0" w:space="0" w:color="auto"/>
        <w:bottom w:val="none" w:sz="0" w:space="0" w:color="auto"/>
        <w:right w:val="none" w:sz="0" w:space="0" w:color="auto"/>
      </w:divBdr>
    </w:div>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34028160">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205991297">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38277784">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1063259734">
      <w:bodyDiv w:val="1"/>
      <w:marLeft w:val="0"/>
      <w:marRight w:val="0"/>
      <w:marTop w:val="0"/>
      <w:marBottom w:val="0"/>
      <w:divBdr>
        <w:top w:val="none" w:sz="0" w:space="0" w:color="auto"/>
        <w:left w:val="none" w:sz="0" w:space="0" w:color="auto"/>
        <w:bottom w:val="none" w:sz="0" w:space="0" w:color="auto"/>
        <w:right w:val="none" w:sz="0" w:space="0" w:color="auto"/>
      </w:divBdr>
    </w:div>
    <w:div w:id="1101922742">
      <w:bodyDiv w:val="1"/>
      <w:marLeft w:val="0"/>
      <w:marRight w:val="0"/>
      <w:marTop w:val="0"/>
      <w:marBottom w:val="0"/>
      <w:divBdr>
        <w:top w:val="none" w:sz="0" w:space="0" w:color="auto"/>
        <w:left w:val="none" w:sz="0" w:space="0" w:color="auto"/>
        <w:bottom w:val="none" w:sz="0" w:space="0" w:color="auto"/>
        <w:right w:val="none" w:sz="0" w:space="0" w:color="auto"/>
      </w:divBdr>
    </w:div>
    <w:div w:id="1175801321">
      <w:bodyDiv w:val="1"/>
      <w:marLeft w:val="0"/>
      <w:marRight w:val="0"/>
      <w:marTop w:val="0"/>
      <w:marBottom w:val="0"/>
      <w:divBdr>
        <w:top w:val="none" w:sz="0" w:space="0" w:color="auto"/>
        <w:left w:val="none" w:sz="0" w:space="0" w:color="auto"/>
        <w:bottom w:val="none" w:sz="0" w:space="0" w:color="auto"/>
        <w:right w:val="none" w:sz="0" w:space="0" w:color="auto"/>
      </w:divBdr>
    </w:div>
    <w:div w:id="1293826904">
      <w:bodyDiv w:val="1"/>
      <w:marLeft w:val="0"/>
      <w:marRight w:val="0"/>
      <w:marTop w:val="0"/>
      <w:marBottom w:val="0"/>
      <w:divBdr>
        <w:top w:val="none" w:sz="0" w:space="0" w:color="auto"/>
        <w:left w:val="none" w:sz="0" w:space="0" w:color="auto"/>
        <w:bottom w:val="none" w:sz="0" w:space="0" w:color="auto"/>
        <w:right w:val="none" w:sz="0" w:space="0" w:color="auto"/>
      </w:divBdr>
    </w:div>
    <w:div w:id="1309047797">
      <w:bodyDiv w:val="1"/>
      <w:marLeft w:val="0"/>
      <w:marRight w:val="0"/>
      <w:marTop w:val="0"/>
      <w:marBottom w:val="0"/>
      <w:divBdr>
        <w:top w:val="none" w:sz="0" w:space="0" w:color="auto"/>
        <w:left w:val="none" w:sz="0" w:space="0" w:color="auto"/>
        <w:bottom w:val="none" w:sz="0" w:space="0" w:color="auto"/>
        <w:right w:val="none" w:sz="0" w:space="0" w:color="auto"/>
      </w:divBdr>
    </w:div>
    <w:div w:id="1324511719">
      <w:bodyDiv w:val="1"/>
      <w:marLeft w:val="0"/>
      <w:marRight w:val="0"/>
      <w:marTop w:val="0"/>
      <w:marBottom w:val="0"/>
      <w:divBdr>
        <w:top w:val="none" w:sz="0" w:space="0" w:color="auto"/>
        <w:left w:val="none" w:sz="0" w:space="0" w:color="auto"/>
        <w:bottom w:val="none" w:sz="0" w:space="0" w:color="auto"/>
        <w:right w:val="none" w:sz="0" w:space="0" w:color="auto"/>
      </w:divBdr>
    </w:div>
    <w:div w:id="1429230549">
      <w:bodyDiv w:val="1"/>
      <w:marLeft w:val="0"/>
      <w:marRight w:val="0"/>
      <w:marTop w:val="0"/>
      <w:marBottom w:val="0"/>
      <w:divBdr>
        <w:top w:val="none" w:sz="0" w:space="0" w:color="auto"/>
        <w:left w:val="none" w:sz="0" w:space="0" w:color="auto"/>
        <w:bottom w:val="none" w:sz="0" w:space="0" w:color="auto"/>
        <w:right w:val="none" w:sz="0" w:space="0" w:color="auto"/>
      </w:divBdr>
    </w:div>
    <w:div w:id="1522745203">
      <w:bodyDiv w:val="1"/>
      <w:marLeft w:val="0"/>
      <w:marRight w:val="0"/>
      <w:marTop w:val="0"/>
      <w:marBottom w:val="0"/>
      <w:divBdr>
        <w:top w:val="none" w:sz="0" w:space="0" w:color="auto"/>
        <w:left w:val="none" w:sz="0" w:space="0" w:color="auto"/>
        <w:bottom w:val="none" w:sz="0" w:space="0" w:color="auto"/>
        <w:right w:val="none" w:sz="0" w:space="0" w:color="auto"/>
      </w:divBdr>
    </w:div>
    <w:div w:id="1577089011">
      <w:bodyDiv w:val="1"/>
      <w:marLeft w:val="0"/>
      <w:marRight w:val="0"/>
      <w:marTop w:val="0"/>
      <w:marBottom w:val="0"/>
      <w:divBdr>
        <w:top w:val="none" w:sz="0" w:space="0" w:color="auto"/>
        <w:left w:val="none" w:sz="0" w:space="0" w:color="auto"/>
        <w:bottom w:val="none" w:sz="0" w:space="0" w:color="auto"/>
        <w:right w:val="none" w:sz="0" w:space="0" w:color="auto"/>
      </w:divBdr>
    </w:div>
    <w:div w:id="1623072929">
      <w:bodyDiv w:val="1"/>
      <w:marLeft w:val="0"/>
      <w:marRight w:val="0"/>
      <w:marTop w:val="0"/>
      <w:marBottom w:val="0"/>
      <w:divBdr>
        <w:top w:val="none" w:sz="0" w:space="0" w:color="auto"/>
        <w:left w:val="none" w:sz="0" w:space="0" w:color="auto"/>
        <w:bottom w:val="none" w:sz="0" w:space="0" w:color="auto"/>
        <w:right w:val="none" w:sz="0" w:space="0" w:color="auto"/>
      </w:divBdr>
    </w:div>
    <w:div w:id="1664818251">
      <w:bodyDiv w:val="1"/>
      <w:marLeft w:val="0"/>
      <w:marRight w:val="0"/>
      <w:marTop w:val="0"/>
      <w:marBottom w:val="0"/>
      <w:divBdr>
        <w:top w:val="none" w:sz="0" w:space="0" w:color="auto"/>
        <w:left w:val="none" w:sz="0" w:space="0" w:color="auto"/>
        <w:bottom w:val="none" w:sz="0" w:space="0" w:color="auto"/>
        <w:right w:val="none" w:sz="0" w:space="0" w:color="auto"/>
      </w:divBdr>
    </w:div>
    <w:div w:id="1746293158">
      <w:bodyDiv w:val="1"/>
      <w:marLeft w:val="0"/>
      <w:marRight w:val="0"/>
      <w:marTop w:val="0"/>
      <w:marBottom w:val="0"/>
      <w:divBdr>
        <w:top w:val="none" w:sz="0" w:space="0" w:color="auto"/>
        <w:left w:val="none" w:sz="0" w:space="0" w:color="auto"/>
        <w:bottom w:val="none" w:sz="0" w:space="0" w:color="auto"/>
        <w:right w:val="none" w:sz="0" w:space="0" w:color="auto"/>
      </w:divBdr>
    </w:div>
    <w:div w:id="1807552921">
      <w:bodyDiv w:val="1"/>
      <w:marLeft w:val="0"/>
      <w:marRight w:val="0"/>
      <w:marTop w:val="0"/>
      <w:marBottom w:val="0"/>
      <w:divBdr>
        <w:top w:val="none" w:sz="0" w:space="0" w:color="auto"/>
        <w:left w:val="none" w:sz="0" w:space="0" w:color="auto"/>
        <w:bottom w:val="none" w:sz="0" w:space="0" w:color="auto"/>
        <w:right w:val="none" w:sz="0" w:space="0" w:color="auto"/>
      </w:divBdr>
    </w:div>
    <w:div w:id="1810049664">
      <w:bodyDiv w:val="1"/>
      <w:marLeft w:val="0"/>
      <w:marRight w:val="0"/>
      <w:marTop w:val="0"/>
      <w:marBottom w:val="0"/>
      <w:divBdr>
        <w:top w:val="none" w:sz="0" w:space="0" w:color="auto"/>
        <w:left w:val="none" w:sz="0" w:space="0" w:color="auto"/>
        <w:bottom w:val="none" w:sz="0" w:space="0" w:color="auto"/>
        <w:right w:val="none" w:sz="0" w:space="0" w:color="auto"/>
      </w:divBdr>
    </w:div>
    <w:div w:id="1826429499">
      <w:bodyDiv w:val="1"/>
      <w:marLeft w:val="0"/>
      <w:marRight w:val="0"/>
      <w:marTop w:val="0"/>
      <w:marBottom w:val="0"/>
      <w:divBdr>
        <w:top w:val="none" w:sz="0" w:space="0" w:color="auto"/>
        <w:left w:val="none" w:sz="0" w:space="0" w:color="auto"/>
        <w:bottom w:val="none" w:sz="0" w:space="0" w:color="auto"/>
        <w:right w:val="none" w:sz="0" w:space="0" w:color="auto"/>
      </w:divBdr>
    </w:div>
    <w:div w:id="1918905006">
      <w:bodyDiv w:val="1"/>
      <w:marLeft w:val="0"/>
      <w:marRight w:val="0"/>
      <w:marTop w:val="0"/>
      <w:marBottom w:val="0"/>
      <w:divBdr>
        <w:top w:val="none" w:sz="0" w:space="0" w:color="auto"/>
        <w:left w:val="none" w:sz="0" w:space="0" w:color="auto"/>
        <w:bottom w:val="none" w:sz="0" w:space="0" w:color="auto"/>
        <w:right w:val="none" w:sz="0" w:space="0" w:color="auto"/>
      </w:divBdr>
    </w:div>
    <w:div w:id="1976909930">
      <w:bodyDiv w:val="1"/>
      <w:marLeft w:val="0"/>
      <w:marRight w:val="0"/>
      <w:marTop w:val="0"/>
      <w:marBottom w:val="0"/>
      <w:divBdr>
        <w:top w:val="none" w:sz="0" w:space="0" w:color="auto"/>
        <w:left w:val="none" w:sz="0" w:space="0" w:color="auto"/>
        <w:bottom w:val="none" w:sz="0" w:space="0" w:color="auto"/>
        <w:right w:val="none" w:sz="0" w:space="0" w:color="auto"/>
      </w:divBdr>
    </w:div>
    <w:div w:id="21438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lanning-oblig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si/2010/948/contents/mad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uk/ukdsi/2010/9780111492390/regulation/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ed0261d-8e1d-4a30-b593-96d7f0c84e13" ContentTypeId="0x01010091769D3ADCDDBD418A5720563395FE87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B4F4364-94C7-4BBF-ABEC-4A82A5E6A548}">
  <ds:schemaRefs>
    <ds:schemaRef ds:uri="office.server.policy"/>
  </ds:schemaRefs>
</ds:datastoreItem>
</file>

<file path=customXml/itemProps2.xml><?xml version="1.0" encoding="utf-8"?>
<ds:datastoreItem xmlns:ds="http://schemas.openxmlformats.org/officeDocument/2006/customXml" ds:itemID="{2045091A-1444-4CE4-83AE-582E6CBA2ED1}">
  <ds:schemaRefs>
    <ds:schemaRef ds:uri="http://schemas.microsoft.com/office/infopath/2007/PartnerControls"/>
    <ds:schemaRef ds:uri="f030db69-1d5c-4c1f-887a-00e75fed0d5c"/>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CE049-8FCF-4F0A-B9C3-786595D58AC9}">
  <ds:schemaRefs>
    <ds:schemaRef ds:uri="http://schemas.microsoft.com/sharepoint/v3/contenttype/forms"/>
  </ds:schemaRefs>
</ds:datastoreItem>
</file>

<file path=customXml/itemProps5.xml><?xml version="1.0" encoding="utf-8"?>
<ds:datastoreItem xmlns:ds="http://schemas.openxmlformats.org/officeDocument/2006/customXml" ds:itemID="{27A88CFE-7D8C-4E76-8832-9AA9FFD8A286}">
  <ds:schemaRefs>
    <ds:schemaRef ds:uri="Microsoft.SharePoint.Taxonomy.ContentTypeSync"/>
  </ds:schemaRefs>
</ds:datastoreItem>
</file>

<file path=customXml/itemProps6.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7.xml><?xml version="1.0" encoding="utf-8"?>
<ds:datastoreItem xmlns:ds="http://schemas.openxmlformats.org/officeDocument/2006/customXml" ds:itemID="{F15B9F48-75DC-4B31-AAE6-75C99F40FC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Fletcher, Martin (Places Directorate - Solihull MBC)</cp:lastModifiedBy>
  <cp:revision>5</cp:revision>
  <dcterms:created xsi:type="dcterms:W3CDTF">2022-03-28T10:56:00Z</dcterms:created>
  <dcterms:modified xsi:type="dcterms:W3CDTF">2022-03-29T11:56:00Z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