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Segoe UI" w:hAnsi="Segoe UI" w:cs="Segoe UI"/>
          <w:sz w:val="18"/>
          <w:szCs w:val="18"/>
        </w:rPr>
      </w:pPr>
      <w:r>
        <w:t>Validation Checklist Appendix A - Ecology Checklist </w:t>
      </w:r>
    </w:p>
    <w:p>
      <w:pPr>
        <w:spacing w:after="240" w:line="240" w:lineRule="auto"/>
        <w:contextualSpacing/>
        <w:rPr>
          <w:rFonts w:ascii="Arial" w:hAnsi="Arial" w:eastAsia="Arial" w:cs="Arial"/>
          <w:sz w:val="24"/>
          <w:szCs w:val="24"/>
          <w:lang w:eastAsia="en-GB"/>
        </w:rPr>
      </w:pPr>
      <w:r>
        <w:rPr>
          <w:rFonts w:ascii="Arial" w:hAnsi="Arial" w:eastAsia="Arial" w:cs="Arial"/>
          <w:sz w:val="24"/>
          <w:szCs w:val="24"/>
          <w:lang w:eastAsia="en-GB"/>
        </w:rPr>
        <w:t>This checklist must be completed and submitted with your application. Understanding the ecological issues that could be associated with a development can avoid delays in determination, create a better scheme and avoid breaches of legislation. </w:t>
      </w:r>
    </w:p>
    <w:p>
      <w:pPr>
        <w:spacing w:after="240" w:line="240" w:lineRule="auto"/>
        <w:contextualSpacing/>
        <w:rPr>
          <w:rFonts w:ascii="Arial" w:hAnsi="Arial" w:eastAsia="Arial" w:cs="Arial"/>
          <w:sz w:val="24"/>
          <w:szCs w:val="24"/>
          <w:lang w:eastAsia="en-GB"/>
        </w:rPr>
      </w:pPr>
    </w:p>
    <w:p>
      <w:pPr>
        <w:spacing w:after="240" w:line="240" w:lineRule="auto"/>
        <w:ind w:right="-166"/>
        <w:contextualSpacing/>
        <w:rPr>
          <w:rFonts w:ascii="Arial" w:hAnsi="Arial" w:eastAsia="Arial" w:cs="Arial"/>
          <w:sz w:val="24"/>
          <w:szCs w:val="24"/>
          <w:lang w:eastAsia="en-GB"/>
        </w:rPr>
      </w:pPr>
      <w:r>
        <w:rPr>
          <w:rFonts w:ascii="Arial" w:hAnsi="Arial" w:eastAsia="Arial" w:cs="Arial"/>
          <w:sz w:val="24"/>
          <w:szCs w:val="24"/>
          <w:lang w:eastAsia="en-GB"/>
        </w:rPr>
        <w:t xml:space="preserve">Tick all features present that </w:t>
      </w:r>
      <w:r>
        <w:rPr>
          <w:rFonts w:ascii="Arial" w:hAnsi="Arial" w:eastAsia="Arial" w:cs="Arial"/>
          <w:b/>
          <w:sz w:val="24"/>
          <w:szCs w:val="24"/>
          <w:lang w:eastAsia="en-GB"/>
        </w:rPr>
        <w:t>could be affected</w:t>
      </w:r>
      <w:r>
        <w:rPr>
          <w:rFonts w:ascii="Arial" w:hAnsi="Arial" w:eastAsia="Arial" w:cs="Arial"/>
          <w:sz w:val="24"/>
          <w:szCs w:val="24"/>
          <w:lang w:eastAsia="en-GB"/>
        </w:rPr>
        <w:t xml:space="preserve"> by any aspect of the proposal both when it is in use or during construction (including from construction vehicles accessing the site/ materials storage).</w:t>
      </w:r>
    </w:p>
    <w:p>
      <w:pPr>
        <w:pStyle w:val="3"/>
      </w:pPr>
      <w:r>
        <w:t>Part 1 – Potential bat/bird habitats</w:t>
      </w:r>
    </w:p>
    <w:p>
      <w:pPr>
        <w:spacing w:after="240" w:line="240" w:lineRule="auto"/>
        <w:contextualSpacing/>
        <w:rPr>
          <w:rFonts w:ascii="Arial" w:hAnsi="Arial" w:eastAsia="Arial" w:cs="Arial"/>
          <w:sz w:val="24"/>
          <w:szCs w:val="24"/>
          <w:lang w:eastAsia="en-GB"/>
        </w:rPr>
      </w:pPr>
      <w:r>
        <w:rPr>
          <w:rFonts w:ascii="Arial" w:hAnsi="Arial" w:eastAsia="Times New Roman" w:cs="Arial"/>
          <w:sz w:val="24"/>
          <w:szCs w:val="24"/>
          <w:lang w:eastAsia="en-GB"/>
        </w:rPr>
        <w:t>Are any of the following features within the red line boundary (as indicated on the location plan) or within the specified distance? </w:t>
      </w:r>
    </w:p>
    <w:p>
      <w:pPr>
        <w:spacing w:after="240" w:line="240" w:lineRule="auto"/>
        <w:contextualSpacing/>
        <w:rPr>
          <w:rFonts w:ascii="Arial" w:hAnsi="Arial" w:eastAsia="Arial" w:cs="Arial"/>
          <w:sz w:val="24"/>
          <w:szCs w:val="24"/>
          <w:lang w:eastAsia="en-GB"/>
        </w:rPr>
      </w:pPr>
    </w:p>
    <w:tbl>
      <w:tblPr>
        <w:tblStyle w:val="5"/>
        <w:tblW w:w="1047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57" w:type="dxa"/>
          <w:left w:w="57" w:type="dxa"/>
          <w:bottom w:w="57" w:type="dxa"/>
          <w:right w:w="57" w:type="dxa"/>
        </w:tblCellMar>
      </w:tblPr>
      <w:tblGrid>
        <w:gridCol w:w="7505"/>
        <w:gridCol w:w="525"/>
        <w:gridCol w:w="1408"/>
        <w:gridCol w:w="10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rPr>
          <w:tblHeader/>
        </w:trPr>
        <w:tc>
          <w:tcPr>
            <w:tcW w:w="75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8D8D8" w:themeFill="background1" w:themeFillShade="D9"/>
          </w:tcPr>
          <w:p>
            <w:pPr>
              <w:spacing w:after="240" w:line="240" w:lineRule="auto"/>
              <w:contextualSpacing/>
              <w:textAlignment w:val="baseline"/>
              <w:rPr>
                <w:rFonts w:ascii="Times New Roman" w:hAnsi="Times New Roman" w:eastAsia="Times New Roman" w:cs="Times New Roman"/>
                <w:b/>
                <w:bCs/>
                <w:sz w:val="24"/>
                <w:szCs w:val="24"/>
                <w:lang w:eastAsia="en-GB"/>
              </w:rPr>
            </w:pPr>
            <w:r>
              <w:rPr>
                <w:rFonts w:ascii="Arial" w:hAnsi="Arial" w:eastAsia="Arial" w:cs="Arial"/>
                <w:b/>
                <w:bCs/>
                <w:sz w:val="24"/>
                <w:szCs w:val="24"/>
                <w:lang w:eastAsia="en-GB"/>
              </w:rPr>
              <w:t>Buildings, structures or trees</w:t>
            </w:r>
          </w:p>
        </w:tc>
        <w:tc>
          <w:tcPr>
            <w:tcW w:w="525" w:type="dxa"/>
            <w:tcBorders>
              <w:top w:val="single" w:color="000000" w:themeColor="text1" w:sz="6" w:space="0"/>
              <w:left w:val="nil"/>
              <w:bottom w:val="single" w:color="000000" w:themeColor="text1" w:sz="6" w:space="0"/>
              <w:right w:val="single" w:color="000000" w:themeColor="text1" w:sz="6" w:space="0"/>
            </w:tcBorders>
            <w:shd w:val="clear" w:color="auto" w:fill="D8D8D8" w:themeFill="background1" w:themeFillShade="D9"/>
          </w:tcPr>
          <w:p>
            <w:pPr>
              <w:spacing w:after="240" w:line="240" w:lineRule="auto"/>
              <w:contextualSpacing/>
              <w:textAlignment w:val="baseline"/>
              <w:rPr>
                <w:rFonts w:ascii="Times New Roman" w:hAnsi="Times New Roman" w:eastAsia="Times New Roman" w:cs="Times New Roman"/>
                <w:b/>
                <w:bCs/>
                <w:sz w:val="24"/>
                <w:szCs w:val="24"/>
                <w:lang w:eastAsia="en-GB"/>
              </w:rPr>
            </w:pPr>
            <w:r>
              <w:rPr>
                <w:rFonts w:ascii="Arial" w:hAnsi="Arial" w:eastAsia="Times New Roman" w:cs="Arial"/>
                <w:b/>
                <w:bCs/>
                <w:sz w:val="24"/>
                <w:szCs w:val="24"/>
                <w:lang w:eastAsia="en-GB"/>
              </w:rPr>
              <w:t>No </w:t>
            </w:r>
          </w:p>
        </w:tc>
        <w:tc>
          <w:tcPr>
            <w:tcW w:w="1408" w:type="dxa"/>
            <w:tcBorders>
              <w:top w:val="single" w:color="000000" w:themeColor="text1" w:sz="6" w:space="0"/>
              <w:left w:val="nil"/>
              <w:bottom w:val="single" w:color="000000" w:themeColor="text1" w:sz="6" w:space="0"/>
              <w:right w:val="single" w:color="000000" w:themeColor="text1" w:sz="6" w:space="0"/>
            </w:tcBorders>
            <w:shd w:val="clear" w:color="auto" w:fill="D8D8D8" w:themeFill="background1" w:themeFillShade="D9"/>
          </w:tcPr>
          <w:p>
            <w:pPr>
              <w:spacing w:after="240" w:line="240" w:lineRule="auto"/>
              <w:contextualSpacing/>
              <w:textAlignment w:val="baseline"/>
              <w:rPr>
                <w:rFonts w:ascii="Times New Roman" w:hAnsi="Times New Roman" w:eastAsia="Times New Roman" w:cs="Times New Roman"/>
                <w:b/>
                <w:bCs/>
                <w:sz w:val="24"/>
                <w:szCs w:val="24"/>
                <w:lang w:eastAsia="en-GB"/>
              </w:rPr>
            </w:pPr>
            <w:r>
              <w:rPr>
                <w:rFonts w:ascii="Arial" w:hAnsi="Arial" w:eastAsia="Times New Roman" w:cs="Arial"/>
                <w:b/>
                <w:bCs/>
                <w:sz w:val="24"/>
                <w:szCs w:val="24"/>
                <w:lang w:eastAsia="en-GB"/>
              </w:rPr>
              <w:t>Yes, but unaffected </w:t>
            </w:r>
          </w:p>
        </w:tc>
        <w:tc>
          <w:tcPr>
            <w:tcW w:w="1035" w:type="dxa"/>
            <w:tcBorders>
              <w:top w:val="single" w:color="000000" w:themeColor="text1" w:sz="6" w:space="0"/>
              <w:left w:val="nil"/>
              <w:bottom w:val="single" w:color="000000" w:themeColor="text1" w:sz="6" w:space="0"/>
              <w:right w:val="single" w:color="000000" w:themeColor="text1" w:sz="6" w:space="0"/>
            </w:tcBorders>
            <w:shd w:val="clear" w:color="auto" w:fill="D8D8D8" w:themeFill="background1" w:themeFillShade="D9"/>
          </w:tcPr>
          <w:p>
            <w:pPr>
              <w:spacing w:after="240" w:line="240" w:lineRule="auto"/>
              <w:contextualSpacing/>
              <w:textAlignment w:val="baseline"/>
              <w:rPr>
                <w:rFonts w:ascii="Arial" w:hAnsi="Arial" w:eastAsia="Times New Roman" w:cs="Arial"/>
                <w:b/>
                <w:bCs/>
                <w:sz w:val="24"/>
                <w:szCs w:val="24"/>
                <w:lang w:eastAsia="en-GB"/>
              </w:rPr>
            </w:pPr>
            <w:r>
              <w:rPr>
                <w:rFonts w:ascii="Arial" w:hAnsi="Arial" w:eastAsia="Times New Roman" w:cs="Arial"/>
                <w:b/>
                <w:bCs/>
                <w:sz w:val="24"/>
                <w:szCs w:val="24"/>
                <w:lang w:eastAsia="en-GB"/>
              </w:rPr>
              <w:t>Yes – affected</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Permanent agricultural buildings (excluding all-metal construction).</w:t>
            </w:r>
          </w:p>
        </w:tc>
        <w:tc>
          <w:tcPr>
            <w:tcW w:w="525"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A building in a rural area where the proposed works will affect roofs, roof spaces or wall tops.</w:t>
            </w:r>
            <w:r>
              <w:rPr>
                <w:rFonts w:ascii="Arial" w:hAnsi="Arial" w:eastAsia="Times New Roman" w:cs="Arial"/>
                <w:color w:val="000000"/>
                <w:sz w:val="24"/>
                <w:szCs w:val="24"/>
                <w:lang w:eastAsia="en-GB"/>
              </w:rPr>
              <w:t> </w:t>
            </w:r>
          </w:p>
        </w:tc>
        <w:tc>
          <w:tcPr>
            <w:tcW w:w="525"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themeColor="text1"/>
                <w:sz w:val="24"/>
                <w:szCs w:val="24"/>
                <w:lang w:val="en-US" w:eastAsia="en-GB"/>
                <w14:textFill>
                  <w14:solidFill>
                    <w14:schemeClr w14:val="tx1"/>
                  </w14:solidFill>
                </w14:textFill>
              </w:rPr>
              <w:t>A pre-1960 building in an urban area that is adjacent to a woodland, river, stream, lake or other aquatic habitat and where the proposed works will affect roofs, roof spaces or wall tops.</w:t>
            </w:r>
            <w:r>
              <w:rPr>
                <w:rFonts w:ascii="Arial" w:hAnsi="Arial" w:eastAsia="Times New Roman" w:cs="Arial"/>
                <w:color w:val="000000" w:themeColor="text1"/>
                <w:sz w:val="24"/>
                <w:szCs w:val="24"/>
                <w:lang w:eastAsia="en-GB"/>
                <w14:textFill>
                  <w14:solidFill>
                    <w14:schemeClr w14:val="tx1"/>
                  </w14:solidFill>
                </w14:textFill>
              </w:rPr>
              <w:t> </w:t>
            </w:r>
          </w:p>
        </w:tc>
        <w:tc>
          <w:tcPr>
            <w:tcW w:w="525"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themeColor="text1"/>
                <w:sz w:val="24"/>
                <w:szCs w:val="24"/>
                <w:lang w:val="en-US" w:eastAsia="en-GB"/>
                <w14:textFill>
                  <w14:solidFill>
                    <w14:schemeClr w14:val="tx1"/>
                  </w14:solidFill>
                </w14:textFill>
              </w:rPr>
              <w:t>A pre-1914 building in an urban area that is within 200m of woodland, river, stream, lake or other aquatic habitat and where the proposed works will affect roofs, roof spaces or wall tops.</w:t>
            </w:r>
          </w:p>
        </w:tc>
        <w:tc>
          <w:tcPr>
            <w:tcW w:w="525"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Arial" w:hAnsi="Arial" w:eastAsia="Times New Roman" w:cs="Arial"/>
                <w:color w:val="000000"/>
                <w:sz w:val="24"/>
                <w:szCs w:val="24"/>
                <w:lang w:val="en-US" w:eastAsia="en-GB"/>
              </w:rPr>
            </w:pPr>
            <w:r>
              <w:rPr>
                <w:rFonts w:ascii="Arial" w:hAnsi="Arial" w:eastAsia="Times New Roman" w:cs="Arial"/>
                <w:color w:val="000000"/>
                <w:sz w:val="24"/>
                <w:szCs w:val="24"/>
                <w:lang w:val="en-US" w:eastAsia="en-GB"/>
              </w:rPr>
              <w:t>A building or structure known to support roosting bats</w:t>
            </w:r>
            <w:r>
              <w:rPr>
                <w:rFonts w:ascii="Arial" w:hAnsi="Arial" w:eastAsia="Times New Roman" w:cs="Arial"/>
                <w:color w:val="000000"/>
                <w:sz w:val="24"/>
                <w:szCs w:val="24"/>
                <w:lang w:eastAsia="en-GB"/>
              </w:rPr>
              <w:t> where the proposed works will affect roofs, roof spaces or wall tops</w:t>
            </w:r>
          </w:p>
        </w:tc>
        <w:tc>
          <w:tcPr>
            <w:tcW w:w="525"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Arial" w:hAnsi="Arial" w:eastAsia="Times New Roman" w:cs="Arial"/>
                <w:sz w:val="24"/>
                <w:szCs w:val="24"/>
                <w:lang w:val="en-US" w:eastAsia="en-GB"/>
              </w:rPr>
            </w:pPr>
            <w:r>
              <w:rPr>
                <w:rFonts w:hint="default" w:ascii="Arial" w:hAnsi="Arial" w:eastAsia="Times New Roman" w:cs="Arial"/>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Arial" w:hAnsi="Arial" w:eastAsia="Times New Roman" w:cs="Arial"/>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A tunnel, mine, kiln, icehouse, adit (</w:t>
            </w:r>
            <w:r>
              <w:rPr>
                <w:rFonts w:ascii="Arial" w:hAnsi="Arial" w:eastAsia="Arial" w:cs="Arial"/>
                <w:color w:val="202124"/>
                <w:sz w:val="24"/>
                <w:szCs w:val="24"/>
                <w:shd w:val="clear" w:color="auto" w:fill="FFFFFF"/>
                <w:lang w:eastAsia="en-GB"/>
              </w:rPr>
              <w:t>entrance or a passage leading to a mine</w:t>
            </w:r>
            <w:r>
              <w:rPr>
                <w:rFonts w:ascii="Arial" w:hAnsi="Arial" w:eastAsia="Times New Roman" w:cs="Arial"/>
                <w:color w:val="000000"/>
                <w:sz w:val="24"/>
                <w:szCs w:val="24"/>
                <w:lang w:val="en-US" w:eastAsia="en-GB"/>
              </w:rPr>
              <w:t>), military fortification, air raid shelter, cellar, or similar underground structure.</w:t>
            </w:r>
          </w:p>
        </w:tc>
        <w:tc>
          <w:tcPr>
            <w:tcW w:w="525"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A bridge (excluding those of all-metal construction).</w:t>
            </w:r>
            <w:r>
              <w:rPr>
                <w:rFonts w:ascii="Arial" w:hAnsi="Arial" w:eastAsia="Times New Roman" w:cs="Arial"/>
                <w:color w:val="000000"/>
                <w:sz w:val="24"/>
                <w:szCs w:val="24"/>
                <w:lang w:eastAsia="en-GB"/>
              </w:rPr>
              <w:t> </w:t>
            </w:r>
          </w:p>
        </w:tc>
        <w:tc>
          <w:tcPr>
            <w:tcW w:w="525"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Does your planning application propose floodlighting within 50 metres of woodland, water, or hedgerows/lines of trees with an obvious connection to woodland or water?</w:t>
            </w:r>
            <w:r>
              <w:rPr>
                <w:rFonts w:ascii="Arial" w:hAnsi="Arial" w:eastAsia="Times New Roman" w:cs="Arial"/>
                <w:color w:val="000000"/>
                <w:sz w:val="24"/>
                <w:szCs w:val="24"/>
                <w:lang w:eastAsia="en-GB"/>
              </w:rPr>
              <w:t> </w:t>
            </w:r>
          </w:p>
        </w:tc>
        <w:tc>
          <w:tcPr>
            <w:tcW w:w="525"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Trees with a diameter greater than 1 metre at chest height, trees with evidence of decay (holes, rot, fungi or cavities/obvious cracks) or those with significant amounts of dead wood/limbs (larger than 20cm in diameter) in the crown/fallen.</w:t>
            </w:r>
          </w:p>
        </w:tc>
        <w:tc>
          <w:tcPr>
            <w:tcW w:w="525"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bl>
    <w:p>
      <w:pPr>
        <w:rPr>
          <w:rFonts w:ascii="Arial" w:hAnsi="Arial" w:eastAsia="Arial" w:cs="Arial"/>
          <w:b/>
          <w:bCs/>
          <w:sz w:val="24"/>
          <w:szCs w:val="24"/>
          <w:lang w:eastAsia="en-GB"/>
        </w:rPr>
      </w:pPr>
      <w:r>
        <w:rPr>
          <w:rFonts w:ascii="Arial" w:hAnsi="Arial" w:eastAsia="Arial" w:cs="Arial"/>
          <w:b/>
          <w:bCs/>
          <w:sz w:val="24"/>
          <w:szCs w:val="24"/>
          <w:lang w:eastAsia="en-GB"/>
        </w:rPr>
        <w:br w:type="textWrapping"/>
      </w:r>
      <w:r>
        <w:rPr>
          <w:rFonts w:ascii="Arial" w:hAnsi="Arial" w:eastAsia="Arial" w:cs="Arial"/>
          <w:b/>
          <w:bCs/>
          <w:sz w:val="24"/>
          <w:szCs w:val="24"/>
          <w:lang w:eastAsia="en-GB"/>
        </w:rPr>
        <w:t>What to do next</w:t>
      </w:r>
      <w:r>
        <w:rPr>
          <w:rFonts w:ascii="Arial" w:hAnsi="Arial" w:eastAsia="Arial" w:cs="Arial"/>
          <w:b/>
          <w:bCs/>
          <w:sz w:val="24"/>
          <w:szCs w:val="24"/>
          <w:lang w:eastAsia="en-GB"/>
        </w:rPr>
        <w:br w:type="textWrapping"/>
      </w:r>
      <w:r>
        <w:rPr>
          <w:rFonts w:ascii="Arial" w:hAnsi="Arial" w:eastAsia="Arial" w:cs="Arial"/>
          <w:sz w:val="24"/>
          <w:szCs w:val="24"/>
          <w:lang w:eastAsia="en-GB"/>
        </w:rPr>
        <w:t xml:space="preserve">If you answered entirely </w:t>
      </w:r>
      <w:r>
        <w:rPr>
          <w:rFonts w:ascii="Arial" w:hAnsi="Arial" w:eastAsia="Arial" w:cs="Arial"/>
          <w:b/>
          <w:bCs/>
          <w:sz w:val="24"/>
          <w:szCs w:val="24"/>
          <w:lang w:eastAsia="en-GB"/>
        </w:rPr>
        <w:t>‘No’ / ‘Yes but unaffected’</w:t>
      </w:r>
      <w:r>
        <w:rPr>
          <w:rFonts w:ascii="Arial" w:hAnsi="Arial" w:eastAsia="Arial" w:cs="Arial"/>
          <w:sz w:val="24"/>
          <w:szCs w:val="24"/>
          <w:lang w:eastAsia="en-GB"/>
        </w:rPr>
        <w:t xml:space="preserve"> submit the completed checklist with your planning application, there is no further action for you to take. If you answered </w:t>
      </w:r>
      <w:r>
        <w:rPr>
          <w:rFonts w:ascii="Arial" w:hAnsi="Arial" w:eastAsia="Arial" w:cs="Arial"/>
          <w:b/>
          <w:bCs/>
          <w:sz w:val="24"/>
          <w:szCs w:val="24"/>
          <w:lang w:eastAsia="en-GB"/>
        </w:rPr>
        <w:t>‘Yes - affected’</w:t>
      </w:r>
      <w:r>
        <w:rPr>
          <w:rFonts w:ascii="Arial" w:hAnsi="Arial" w:eastAsia="Arial" w:cs="Arial"/>
          <w:sz w:val="24"/>
          <w:szCs w:val="24"/>
          <w:lang w:eastAsia="en-GB"/>
        </w:rPr>
        <w:t xml:space="preserve"> to any of the questions, you would need to submit a Bat Survey Report or for farm buildings a Bat and Barn Owl Survey Report (unless a pre-application response confirms this is not required).</w:t>
      </w:r>
    </w:p>
    <w:p>
      <w:pPr>
        <w:spacing w:after="240" w:line="240" w:lineRule="auto"/>
        <w:contextualSpacing/>
        <w:rPr>
          <w:rFonts w:ascii="Segoe UI" w:hAnsi="Segoe UI" w:eastAsia="Arial" w:cs="Segoe UI"/>
          <w:sz w:val="18"/>
          <w:szCs w:val="18"/>
          <w:lang w:eastAsia="en-GB"/>
        </w:rPr>
      </w:pPr>
      <w:r>
        <w:rPr>
          <w:rFonts w:ascii="Arial" w:hAnsi="Arial" w:eastAsia="Arial" w:cs="Arial"/>
          <w:sz w:val="24"/>
          <w:szCs w:val="24"/>
          <w:lang w:eastAsia="en-GB"/>
        </w:rPr>
        <w:t>Bat surveys should commence with a daytime risk assessment. This can be undertaken at any time of year and will determine whether emergence surveys will be required. All bat surveys should be undertaken in accordance with </w:t>
      </w:r>
      <w:r>
        <w:fldChar w:fldCharType="begin"/>
      </w:r>
      <w:r>
        <w:instrText xml:space="preserve"> HYPERLINK "https://cieem.net/resource/bats-surveys-and-mitigation-for-development-projects/" \h </w:instrText>
      </w:r>
      <w:r>
        <w:fldChar w:fldCharType="separate"/>
      </w:r>
      <w:r>
        <w:rPr>
          <w:rFonts w:ascii="Arial" w:hAnsi="Arial" w:eastAsia="Arial" w:cs="Arial"/>
          <w:color w:val="0000FF"/>
          <w:sz w:val="24"/>
          <w:szCs w:val="24"/>
          <w:u w:val="single"/>
          <w:lang w:eastAsia="en-GB"/>
        </w:rPr>
        <w:t>Bat surveys for Professional Ecologists: Good Practice Guidelines</w:t>
      </w:r>
      <w:r>
        <w:rPr>
          <w:rFonts w:ascii="Arial" w:hAnsi="Arial" w:eastAsia="Arial" w:cs="Arial"/>
          <w:color w:val="0000FF"/>
          <w:sz w:val="24"/>
          <w:szCs w:val="24"/>
          <w:u w:val="single"/>
          <w:lang w:eastAsia="en-GB"/>
        </w:rPr>
        <w:fldChar w:fldCharType="end"/>
      </w:r>
      <w:r>
        <w:rPr>
          <w:rFonts w:ascii="Arial" w:hAnsi="Arial" w:eastAsia="Arial" w:cs="Arial"/>
          <w:sz w:val="24"/>
          <w:szCs w:val="24"/>
          <w:lang w:eastAsia="en-GB"/>
        </w:rPr>
        <w:t>. Guidance for homeowners about bat surveys can be found in </w:t>
      </w:r>
      <w:r>
        <w:fldChar w:fldCharType="begin"/>
      </w:r>
      <w:r>
        <w:instrText xml:space="preserve"> HYPERLINK "https://cieem.net/wp-content/uploads/2019/02/Bat_Survey_Guidlines_for_UK_Home_Owners.pdf" \h </w:instrText>
      </w:r>
      <w:r>
        <w:fldChar w:fldCharType="separate"/>
      </w:r>
      <w:r>
        <w:rPr>
          <w:rFonts w:ascii="Arial" w:hAnsi="Arial" w:eastAsia="Arial" w:cs="Arial"/>
          <w:color w:val="0563C1"/>
          <w:sz w:val="24"/>
          <w:szCs w:val="24"/>
          <w:u w:val="single"/>
          <w:lang w:eastAsia="en-GB"/>
        </w:rPr>
        <w:t>What to Expect from a Bat Survey A Guide for UK Homeowners</w:t>
      </w:r>
      <w:r>
        <w:rPr>
          <w:rFonts w:ascii="Arial" w:hAnsi="Arial" w:eastAsia="Arial" w:cs="Arial"/>
          <w:color w:val="0563C1"/>
          <w:sz w:val="24"/>
          <w:szCs w:val="24"/>
          <w:u w:val="single"/>
          <w:lang w:eastAsia="en-GB"/>
        </w:rPr>
        <w:fldChar w:fldCharType="end"/>
      </w:r>
      <w:r>
        <w:rPr>
          <w:rFonts w:ascii="Arial" w:hAnsi="Arial" w:eastAsia="Arial" w:cs="Arial"/>
          <w:sz w:val="24"/>
          <w:szCs w:val="24"/>
          <w:lang w:eastAsia="en-GB"/>
        </w:rPr>
        <w:t>. </w:t>
      </w:r>
    </w:p>
    <w:p>
      <w:pPr>
        <w:pStyle w:val="3"/>
      </w:pPr>
      <w:r>
        <w:t>Part 2 – Other habitats</w:t>
      </w:r>
    </w:p>
    <w:p>
      <w:pPr>
        <w:spacing w:after="240" w:line="240" w:lineRule="auto"/>
        <w:contextualSpacing/>
        <w:rPr>
          <w:rFonts w:ascii="Arial" w:hAnsi="Arial" w:eastAsia="Times New Roman" w:cs="Arial"/>
          <w:sz w:val="24"/>
          <w:szCs w:val="24"/>
          <w:lang w:eastAsia="en-GB"/>
        </w:rPr>
      </w:pPr>
      <w:r>
        <w:rPr>
          <w:rFonts w:ascii="Arial" w:hAnsi="Arial" w:eastAsia="Times New Roman" w:cs="Arial"/>
          <w:sz w:val="24"/>
          <w:szCs w:val="24"/>
          <w:lang w:eastAsia="en-GB"/>
        </w:rPr>
        <w:t>Are any of the following features within the red line boundary (as indicated on the location plan) or within the specified distance? </w:t>
      </w:r>
    </w:p>
    <w:p>
      <w:pPr>
        <w:spacing w:after="240" w:line="240" w:lineRule="auto"/>
        <w:contextualSpacing/>
        <w:rPr>
          <w:rFonts w:ascii="Arial" w:hAnsi="Arial" w:eastAsia="Arial" w:cs="Arial"/>
          <w:sz w:val="24"/>
          <w:szCs w:val="24"/>
          <w:lang w:eastAsia="en-GB"/>
        </w:rPr>
      </w:pPr>
    </w:p>
    <w:p>
      <w:pPr>
        <w:spacing w:after="240" w:line="240" w:lineRule="auto"/>
        <w:contextualSpacing/>
        <w:rPr>
          <w:rFonts w:ascii="Arial" w:hAnsi="Arial" w:eastAsia="Arial" w:cs="Arial"/>
          <w:b/>
          <w:bCs/>
          <w:sz w:val="24"/>
          <w:szCs w:val="24"/>
        </w:rPr>
      </w:pPr>
      <w:r>
        <w:rPr>
          <w:rFonts w:ascii="Arial" w:hAnsi="Arial" w:eastAsia="Arial" w:cs="Arial"/>
          <w:b/>
          <w:bCs/>
          <w:sz w:val="24"/>
          <w:szCs w:val="24"/>
        </w:rPr>
        <w:t xml:space="preserve">You can check the following habitats (designated sites) on our </w:t>
      </w:r>
      <w:r>
        <w:fldChar w:fldCharType="begin"/>
      </w:r>
      <w:r>
        <w:instrText xml:space="preserve"> HYPERLINK "https://northumberland.maps.arcgis.com/apps/webappviewer/index.html?id=6e3fb0b723f6468aa427e430333320aa" </w:instrText>
      </w:r>
      <w:r>
        <w:fldChar w:fldCharType="separate"/>
      </w:r>
      <w:r>
        <w:rPr>
          <w:rStyle w:val="9"/>
          <w:rFonts w:ascii="Arial" w:hAnsi="Arial" w:eastAsia="Arial" w:cs="Arial"/>
          <w:b/>
          <w:bCs/>
          <w:sz w:val="24"/>
          <w:szCs w:val="24"/>
        </w:rPr>
        <w:t>Planning Constraints Map</w:t>
      </w:r>
      <w:r>
        <w:rPr>
          <w:rStyle w:val="9"/>
          <w:rFonts w:ascii="Arial" w:hAnsi="Arial" w:eastAsia="Arial" w:cs="Arial"/>
          <w:b/>
          <w:bCs/>
          <w:sz w:val="24"/>
          <w:szCs w:val="24"/>
        </w:rPr>
        <w:fldChar w:fldCharType="end"/>
      </w:r>
      <w:r>
        <w:rPr>
          <w:rFonts w:ascii="Arial" w:hAnsi="Arial" w:eastAsia="Arial" w:cs="Arial"/>
          <w:b/>
          <w:bCs/>
          <w:sz w:val="24"/>
          <w:szCs w:val="24"/>
        </w:rPr>
        <w:t>.</w:t>
      </w:r>
    </w:p>
    <w:p>
      <w:pPr>
        <w:spacing w:after="240" w:line="240" w:lineRule="auto"/>
        <w:contextualSpacing/>
        <w:rPr>
          <w:rFonts w:ascii="Arial" w:hAnsi="Arial" w:eastAsia="Arial" w:cs="Arial"/>
          <w:sz w:val="24"/>
          <w:szCs w:val="24"/>
          <w:lang w:eastAsia="en-GB"/>
        </w:rPr>
      </w:pPr>
    </w:p>
    <w:tbl>
      <w:tblPr>
        <w:tblStyle w:val="5"/>
        <w:tblW w:w="1048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57" w:type="dxa"/>
          <w:left w:w="57" w:type="dxa"/>
          <w:bottom w:w="57" w:type="dxa"/>
          <w:right w:w="57" w:type="dxa"/>
        </w:tblCellMar>
      </w:tblPr>
      <w:tblGrid>
        <w:gridCol w:w="7425"/>
        <w:gridCol w:w="533"/>
        <w:gridCol w:w="1489"/>
        <w:gridCol w:w="10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rPr>
          <w:tblHeader/>
        </w:trPr>
        <w:tc>
          <w:tcPr>
            <w:tcW w:w="75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8D8D8" w:themeFill="background1" w:themeFillShade="D9"/>
          </w:tcPr>
          <w:p>
            <w:pPr>
              <w:spacing w:after="240" w:line="240" w:lineRule="auto"/>
              <w:contextualSpacing/>
              <w:textAlignment w:val="baseline"/>
              <w:rPr>
                <w:rFonts w:ascii="Times New Roman" w:hAnsi="Times New Roman" w:eastAsia="Times New Roman" w:cs="Times New Roman"/>
                <w:b/>
                <w:bCs/>
                <w:sz w:val="24"/>
                <w:szCs w:val="24"/>
                <w:lang w:eastAsia="en-GB"/>
              </w:rPr>
            </w:pPr>
            <w:r>
              <w:rPr>
                <w:rFonts w:ascii="Arial" w:hAnsi="Arial" w:eastAsia="Arial" w:cs="Arial"/>
                <w:b/>
                <w:bCs/>
                <w:sz w:val="24"/>
                <w:szCs w:val="24"/>
                <w:lang w:eastAsia="en-GB"/>
              </w:rPr>
              <w:t>Habitats</w:t>
            </w:r>
          </w:p>
        </w:tc>
        <w:tc>
          <w:tcPr>
            <w:tcW w:w="534" w:type="dxa"/>
            <w:tcBorders>
              <w:top w:val="single" w:color="000000" w:themeColor="text1" w:sz="6" w:space="0"/>
              <w:left w:val="nil"/>
              <w:bottom w:val="single" w:color="000000" w:themeColor="text1" w:sz="6" w:space="0"/>
              <w:right w:val="single" w:color="000000" w:themeColor="text1" w:sz="6" w:space="0"/>
            </w:tcBorders>
            <w:shd w:val="clear" w:color="auto" w:fill="D8D8D8" w:themeFill="background1" w:themeFillShade="D9"/>
          </w:tcPr>
          <w:p>
            <w:pPr>
              <w:spacing w:after="240" w:line="240" w:lineRule="auto"/>
              <w:contextualSpacing/>
              <w:textAlignment w:val="baseline"/>
              <w:rPr>
                <w:rFonts w:ascii="Times New Roman" w:hAnsi="Times New Roman" w:eastAsia="Times New Roman" w:cs="Times New Roman"/>
                <w:b/>
                <w:bCs/>
                <w:sz w:val="24"/>
                <w:szCs w:val="24"/>
                <w:lang w:eastAsia="en-GB"/>
              </w:rPr>
            </w:pPr>
            <w:r>
              <w:rPr>
                <w:rFonts w:ascii="Arial" w:hAnsi="Arial" w:eastAsia="Times New Roman" w:cs="Arial"/>
                <w:b/>
                <w:bCs/>
                <w:sz w:val="24"/>
                <w:szCs w:val="24"/>
                <w:lang w:eastAsia="en-GB"/>
              </w:rPr>
              <w:t>No </w:t>
            </w:r>
          </w:p>
        </w:tc>
        <w:tc>
          <w:tcPr>
            <w:tcW w:w="1408" w:type="dxa"/>
            <w:tcBorders>
              <w:top w:val="single" w:color="000000" w:themeColor="text1" w:sz="6" w:space="0"/>
              <w:left w:val="nil"/>
              <w:bottom w:val="single" w:color="000000" w:themeColor="text1" w:sz="6" w:space="0"/>
              <w:right w:val="single" w:color="000000" w:themeColor="text1" w:sz="6" w:space="0"/>
            </w:tcBorders>
            <w:shd w:val="clear" w:color="auto" w:fill="D8D8D8" w:themeFill="background1" w:themeFillShade="D9"/>
          </w:tcPr>
          <w:p>
            <w:pPr>
              <w:spacing w:after="240" w:line="240" w:lineRule="auto"/>
              <w:contextualSpacing/>
              <w:textAlignment w:val="baseline"/>
              <w:rPr>
                <w:rFonts w:ascii="Times New Roman" w:hAnsi="Times New Roman" w:eastAsia="Times New Roman" w:cs="Times New Roman"/>
                <w:b/>
                <w:bCs/>
                <w:sz w:val="24"/>
                <w:szCs w:val="24"/>
                <w:lang w:eastAsia="en-GB"/>
              </w:rPr>
            </w:pPr>
            <w:r>
              <w:rPr>
                <w:rFonts w:ascii="Arial" w:hAnsi="Arial" w:eastAsia="Times New Roman" w:cs="Arial"/>
                <w:b/>
                <w:bCs/>
                <w:sz w:val="24"/>
                <w:szCs w:val="24"/>
                <w:lang w:eastAsia="en-GB"/>
              </w:rPr>
              <w:t>Yes, but unaffected </w:t>
            </w:r>
          </w:p>
        </w:tc>
        <w:tc>
          <w:tcPr>
            <w:tcW w:w="1035" w:type="dxa"/>
            <w:tcBorders>
              <w:top w:val="single" w:color="000000" w:themeColor="text1" w:sz="6" w:space="0"/>
              <w:left w:val="nil"/>
              <w:bottom w:val="single" w:color="000000" w:themeColor="text1" w:sz="6" w:space="0"/>
              <w:right w:val="single" w:color="000000" w:themeColor="text1" w:sz="6" w:space="0"/>
            </w:tcBorders>
            <w:shd w:val="clear" w:color="auto" w:fill="D8D8D8" w:themeFill="background1" w:themeFillShade="D9"/>
          </w:tcPr>
          <w:p>
            <w:pPr>
              <w:spacing w:after="240" w:line="240" w:lineRule="auto"/>
              <w:contextualSpacing/>
              <w:textAlignment w:val="baseline"/>
              <w:rPr>
                <w:rFonts w:ascii="Arial" w:hAnsi="Arial" w:eastAsia="Times New Roman" w:cs="Arial"/>
                <w:b/>
                <w:bCs/>
                <w:sz w:val="24"/>
                <w:szCs w:val="24"/>
                <w:lang w:eastAsia="en-GB"/>
              </w:rPr>
            </w:pPr>
            <w:r>
              <w:rPr>
                <w:rFonts w:ascii="Arial" w:hAnsi="Arial" w:eastAsia="Times New Roman" w:cs="Arial"/>
                <w:b/>
                <w:bCs/>
                <w:sz w:val="24"/>
                <w:szCs w:val="24"/>
                <w:lang w:eastAsia="en-GB"/>
              </w:rPr>
              <w:t>Yes – affected</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Special Protection Area (SPA), Ramsar Site or Special Area of Conservation (SAC).</w:t>
            </w:r>
          </w:p>
        </w:tc>
        <w:tc>
          <w:tcPr>
            <w:tcW w:w="534"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vMerge w:val="restart"/>
            <w:tcBorders>
              <w:top w:val="single" w:color="000000" w:themeColor="text1" w:sz="6" w:space="0"/>
              <w:left w:val="nil"/>
              <w:bottom w:val="single" w:color="auto" w:sz="4" w:space="0"/>
              <w:right w:val="single" w:color="000000" w:themeColor="text1" w:sz="6" w:space="0"/>
            </w:tcBorders>
            <w:shd w:val="clear" w:color="auto" w:fill="D8D8D8" w:themeFill="background1" w:themeFillShade="D9"/>
          </w:tcPr>
          <w:p>
            <w:pPr>
              <w:spacing w:after="240" w:line="240" w:lineRule="auto"/>
              <w:contextualSpacing/>
              <w:jc w:val="center"/>
              <w:textAlignment w:val="baseline"/>
              <w:rPr>
                <w:rFonts w:ascii="Times New Roman" w:hAnsi="Times New Roman" w:eastAsia="Times New Roman" w:cs="Times New Roman"/>
                <w:sz w:val="24"/>
                <w:szCs w:val="24"/>
                <w:lang w:eastAsia="en-GB"/>
              </w:rPr>
            </w:pPr>
            <w:r>
              <w:rPr>
                <w:rFonts w:ascii="Arial" w:hAnsi="Arial" w:eastAsia="Times New Roman" w:cs="Arial"/>
                <w:i/>
                <w:iCs/>
                <w:sz w:val="24"/>
                <w:szCs w:val="24"/>
                <w:lang w:eastAsia="en-GB"/>
              </w:rPr>
              <w:t>If any development is within these areas it will by definition need assessing*</w:t>
            </w:r>
            <w:r>
              <w:rPr>
                <w:rFonts w:ascii="Arial" w:hAnsi="Arial" w:eastAsia="Times New Roman" w:cs="Arial"/>
                <w:sz w:val="24"/>
                <w:szCs w:val="24"/>
                <w:lang w:eastAsia="en-GB"/>
              </w:rPr>
              <w:t>.</w:t>
            </w: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Site of Special Scientific Interest (SSSI).</w:t>
            </w:r>
          </w:p>
        </w:tc>
        <w:tc>
          <w:tcPr>
            <w:tcW w:w="534"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vMerge w:val="continue"/>
            <w:tcBorders>
              <w:top w:val="nil"/>
              <w:bottom w:val="single" w:color="auto" w:sz="4" w:space="0"/>
              <w:right w:val="single" w:color="auto" w:sz="4" w:space="0"/>
            </w:tcBorders>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single" w:color="000000" w:themeColor="text1" w:sz="6" w:space="0"/>
              <w:left w:val="single" w:color="auto" w:sz="4" w:space="0"/>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Local Wildlife or Geological Site (LWGS) or a Local Nature Reserve (LNR).</w:t>
            </w:r>
          </w:p>
        </w:tc>
        <w:tc>
          <w:tcPr>
            <w:tcW w:w="534"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vMerge w:val="continue"/>
            <w:tcBorders>
              <w:top w:val="nil"/>
              <w:bottom w:val="single" w:color="auto" w:sz="4" w:space="0"/>
              <w:right w:val="single" w:color="auto" w:sz="4" w:space="0"/>
            </w:tcBorders>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single" w:color="000000" w:themeColor="text1" w:sz="6" w:space="0"/>
              <w:left w:val="single" w:color="auto" w:sz="4" w:space="0"/>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sz w:val="24"/>
                <w:szCs w:val="24"/>
                <w:lang w:eastAsia="en-GB"/>
              </w:rPr>
              <w:t>Marine Conservation Zone (MCZ).</w:t>
            </w:r>
          </w:p>
        </w:tc>
        <w:tc>
          <w:tcPr>
            <w:tcW w:w="534"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vMerge w:val="continue"/>
            <w:tcBorders>
              <w:top w:val="nil"/>
              <w:bottom w:val="single" w:color="auto" w:sz="4" w:space="0"/>
              <w:right w:val="single" w:color="auto" w:sz="4" w:space="0"/>
            </w:tcBorders>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single" w:color="000000" w:themeColor="text1" w:sz="6" w:space="0"/>
              <w:left w:val="single" w:color="auto" w:sz="4" w:space="0"/>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sz w:val="24"/>
                <w:szCs w:val="24"/>
                <w:lang w:eastAsia="en-GB"/>
              </w:rPr>
              <w:t>Proposals (excluding householder) within 100m  of Ancient Woodland.</w:t>
            </w:r>
          </w:p>
        </w:tc>
        <w:tc>
          <w:tcPr>
            <w:tcW w:w="534"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single" w:color="auto" w:sz="4" w:space="0"/>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Woodland, scrub or hedgerows/lines of trees with an obvious connection to woodland or water.</w:t>
            </w:r>
          </w:p>
        </w:tc>
        <w:tc>
          <w:tcPr>
            <w:tcW w:w="534"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sz w:val="24"/>
                <w:szCs w:val="24"/>
                <w:lang w:eastAsia="en-GB"/>
              </w:rPr>
              <w:t>Major application </w:t>
            </w:r>
            <w:r>
              <w:rPr>
                <w:rFonts w:ascii="Arial" w:hAnsi="Arial" w:eastAsia="Times New Roman" w:cs="Arial"/>
                <w:color w:val="000000" w:themeColor="text1"/>
                <w:sz w:val="24"/>
                <w:szCs w:val="24"/>
                <w:lang w:val="en-US" w:eastAsia="en-GB"/>
                <w14:textFill>
                  <w14:solidFill>
                    <w14:schemeClr w14:val="tx1"/>
                  </w14:solidFill>
                </w14:textFill>
              </w:rPr>
              <w:t>within 200 metres of a river, stream, pond (including garden ponds), lake or other aquatic habitat.</w:t>
            </w:r>
          </w:p>
        </w:tc>
        <w:tc>
          <w:tcPr>
            <w:tcW w:w="534"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sz w:val="24"/>
                <w:szCs w:val="24"/>
                <w:lang w:eastAsia="en-GB"/>
              </w:rPr>
              <w:t>Minor application </w:t>
            </w:r>
            <w:r>
              <w:rPr>
                <w:rFonts w:ascii="Arial" w:hAnsi="Arial" w:eastAsia="Times New Roman" w:cs="Arial"/>
                <w:color w:val="000000" w:themeColor="text1"/>
                <w:sz w:val="24"/>
                <w:szCs w:val="24"/>
                <w:lang w:val="en-US" w:eastAsia="en-GB"/>
                <w14:textFill>
                  <w14:solidFill>
                    <w14:schemeClr w14:val="tx1"/>
                  </w14:solidFill>
                </w14:textFill>
              </w:rPr>
              <w:t>adjacent to a river, stream, pond (including garden ponds), lake or other aquatic habitat?</w:t>
            </w:r>
            <w:r>
              <w:rPr>
                <w:rFonts w:ascii="Arial" w:hAnsi="Arial" w:eastAsia="Times New Roman" w:cs="Arial"/>
                <w:color w:val="000000" w:themeColor="text1"/>
                <w:sz w:val="24"/>
                <w:szCs w:val="24"/>
                <w:lang w:eastAsia="en-GB"/>
                <w14:textFill>
                  <w14:solidFill>
                    <w14:schemeClr w14:val="tx1"/>
                  </w14:solidFill>
                </w14:textFill>
              </w:rPr>
              <w:t> </w:t>
            </w:r>
          </w:p>
        </w:tc>
        <w:tc>
          <w:tcPr>
            <w:tcW w:w="534"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57" w:type="dxa"/>
            <w:left w:w="57" w:type="dxa"/>
            <w:bottom w:w="57" w:type="dxa"/>
            <w:right w:w="57" w:type="dxa"/>
          </w:tblCellMar>
        </w:tblPrEx>
        <w:trPr>
          <w:trHeight w:val="1189" w:hRule="atLeast"/>
        </w:trPr>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 xml:space="preserve">Habitats included on, or supporting species included on the </w:t>
            </w:r>
            <w:r>
              <w:fldChar w:fldCharType="begin"/>
            </w:r>
            <w:r>
              <w:instrText xml:space="preserve"> HYPERLINK "https://webarchive.nationalarchives.gov.uk/ukgwa/20140605093420/http:/www.naturalengland.org.uk/ourwork/conservation/biodiversity/protectandmanage/habsandspeciesimportance.aspx" </w:instrText>
            </w:r>
            <w:r>
              <w:fldChar w:fldCharType="separate"/>
            </w:r>
            <w:r>
              <w:rPr>
                <w:rStyle w:val="9"/>
                <w:rFonts w:ascii="Arial" w:hAnsi="Arial" w:eastAsia="Times New Roman" w:cs="Arial"/>
                <w:sz w:val="24"/>
                <w:szCs w:val="24"/>
                <w:lang w:val="en-US" w:eastAsia="en-GB"/>
              </w:rPr>
              <w:t>Government’s List of Habitats and Species of Principal Importance in England</w:t>
            </w:r>
            <w:r>
              <w:rPr>
                <w:rStyle w:val="9"/>
                <w:rFonts w:ascii="Arial" w:hAnsi="Arial" w:eastAsia="Times New Roman" w:cs="Arial"/>
                <w:sz w:val="24"/>
                <w:szCs w:val="24"/>
                <w:lang w:val="en-US" w:eastAsia="en-GB"/>
              </w:rPr>
              <w:fldChar w:fldCharType="end"/>
            </w:r>
            <w:r>
              <w:rPr>
                <w:rFonts w:ascii="Arial" w:hAnsi="Arial" w:eastAsia="Times New Roman" w:cs="Arial"/>
                <w:color w:val="000000"/>
                <w:sz w:val="24"/>
                <w:szCs w:val="24"/>
                <w:lang w:val="en-US" w:eastAsia="en-GB"/>
              </w:rPr>
              <w:t>, including wet grassland and marsh, species-rich grassland, heathland, mire, and all coastal habitats?</w:t>
            </w:r>
            <w:r>
              <w:rPr>
                <w:rFonts w:ascii="Arial" w:hAnsi="Arial" w:eastAsia="Times New Roman" w:cs="Arial"/>
                <w:color w:val="000000"/>
                <w:sz w:val="24"/>
                <w:szCs w:val="24"/>
                <w:lang w:eastAsia="en-GB"/>
              </w:rPr>
              <w:t> </w:t>
            </w:r>
          </w:p>
        </w:tc>
        <w:tc>
          <w:tcPr>
            <w:tcW w:w="534"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hint="default" w:ascii="Times New Roman" w:hAnsi="Times New Roman" w:eastAsia="Times New Roman" w:cs="Times New Roman"/>
                <w:sz w:val="24"/>
                <w:szCs w:val="24"/>
                <w:lang w:val="en-US" w:eastAsia="en-GB"/>
              </w:rPr>
            </w:pPr>
            <w:r>
              <w:rPr>
                <w:rFonts w:hint="default" w:ascii="Times New Roman" w:hAnsi="Times New Roman" w:eastAsia="Times New Roman" w:cs="Times New Roman"/>
                <w:sz w:val="24"/>
                <w:szCs w:val="24"/>
                <w:lang w:val="en-US" w:eastAsia="en-GB"/>
              </w:rPr>
              <w:t>x</w:t>
            </w:r>
            <w:bookmarkStart w:id="0" w:name="_GoBack"/>
            <w:bookmarkEnd w:id="0"/>
          </w:p>
        </w:tc>
        <w:tc>
          <w:tcPr>
            <w:tcW w:w="1408" w:type="dxa"/>
            <w:tcBorders>
              <w:top w:val="nil"/>
              <w:left w:val="nil"/>
              <w:bottom w:val="single" w:color="000000" w:themeColor="text1" w:sz="6" w:space="0"/>
              <w:right w:val="single" w:color="000000" w:themeColor="text1" w:sz="6" w:space="0"/>
            </w:tcBorders>
            <w:shd w:val="clear" w:color="auto" w:fill="auto"/>
          </w:tcPr>
          <w:p>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pPr>
              <w:spacing w:after="240" w:line="240" w:lineRule="auto"/>
              <w:contextualSpacing/>
              <w:jc w:val="center"/>
              <w:textAlignment w:val="baseline"/>
              <w:rPr>
                <w:rFonts w:ascii="Arial" w:hAnsi="Arial" w:eastAsia="Times New Roman" w:cs="Arial"/>
                <w:sz w:val="24"/>
                <w:szCs w:val="24"/>
                <w:lang w:eastAsia="en-GB"/>
              </w:rPr>
            </w:pPr>
          </w:p>
        </w:tc>
      </w:tr>
    </w:tbl>
    <w:p>
      <w:pPr>
        <w:spacing w:after="240" w:line="240" w:lineRule="auto"/>
        <w:contextualSpacing/>
        <w:textAlignment w:val="baseline"/>
        <w:rPr>
          <w:rFonts w:ascii="Segoe UI" w:hAnsi="Segoe UI" w:eastAsia="Times New Roman" w:cs="Segoe UI"/>
          <w:sz w:val="18"/>
          <w:szCs w:val="18"/>
          <w:lang w:eastAsia="en-GB"/>
        </w:rPr>
      </w:pPr>
      <w:r>
        <w:rPr>
          <w:rFonts w:ascii="Arial" w:hAnsi="Arial" w:eastAsia="Times New Roman" w:cs="Arial"/>
          <w:sz w:val="24"/>
          <w:szCs w:val="24"/>
          <w:lang w:eastAsia="en-GB"/>
        </w:rPr>
        <w:t> </w:t>
      </w:r>
    </w:p>
    <w:p>
      <w:pPr>
        <w:rPr>
          <w:rFonts w:ascii="Arial" w:hAnsi="Arial" w:eastAsia="Arial" w:cs="Arial"/>
          <w:sz w:val="24"/>
          <w:szCs w:val="24"/>
          <w:lang w:eastAsia="en-GB"/>
        </w:rPr>
      </w:pPr>
      <w:r>
        <w:rPr>
          <w:rFonts w:ascii="Arial" w:hAnsi="Arial" w:eastAsia="Arial" w:cs="Arial"/>
          <w:b/>
          <w:bCs/>
          <w:sz w:val="24"/>
          <w:szCs w:val="24"/>
          <w:lang w:eastAsia="en-GB"/>
        </w:rPr>
        <w:t>What to do next</w:t>
      </w:r>
      <w:r>
        <w:rPr>
          <w:rFonts w:ascii="Arial" w:hAnsi="Arial" w:eastAsia="Arial" w:cs="Arial"/>
          <w:b/>
          <w:bCs/>
          <w:sz w:val="24"/>
          <w:szCs w:val="24"/>
          <w:lang w:eastAsia="en-GB"/>
        </w:rPr>
        <w:br w:type="textWrapping"/>
      </w:r>
      <w:r>
        <w:rPr>
          <w:rFonts w:ascii="Arial" w:hAnsi="Arial" w:eastAsia="Arial" w:cs="Arial"/>
          <w:sz w:val="24"/>
          <w:szCs w:val="24"/>
          <w:lang w:eastAsia="en-GB"/>
        </w:rPr>
        <w:t xml:space="preserve">If you answered entirely </w:t>
      </w:r>
      <w:r>
        <w:rPr>
          <w:rFonts w:ascii="Arial" w:hAnsi="Arial" w:eastAsia="Arial" w:cs="Arial"/>
          <w:b/>
          <w:bCs/>
          <w:sz w:val="24"/>
          <w:szCs w:val="24"/>
          <w:lang w:eastAsia="en-GB"/>
        </w:rPr>
        <w:t>‘No’ / ‘Yes but unaffected’</w:t>
      </w:r>
      <w:r>
        <w:rPr>
          <w:rFonts w:ascii="Arial" w:hAnsi="Arial" w:eastAsia="Arial" w:cs="Arial"/>
          <w:sz w:val="24"/>
          <w:szCs w:val="24"/>
          <w:lang w:eastAsia="en-GB"/>
        </w:rPr>
        <w:t xml:space="preserve"> submit the completed checklist with your planning application, there is no further action for you to take. If you answered </w:t>
      </w:r>
      <w:r>
        <w:rPr>
          <w:rFonts w:ascii="Arial" w:hAnsi="Arial" w:eastAsia="Arial" w:cs="Arial"/>
          <w:b/>
          <w:bCs/>
          <w:sz w:val="24"/>
          <w:szCs w:val="24"/>
          <w:lang w:eastAsia="en-GB"/>
        </w:rPr>
        <w:t>‘Yes - affected’</w:t>
      </w:r>
      <w:r>
        <w:rPr>
          <w:rFonts w:ascii="Arial" w:hAnsi="Arial" w:eastAsia="Arial" w:cs="Arial"/>
          <w:sz w:val="24"/>
          <w:szCs w:val="24"/>
          <w:lang w:eastAsia="en-GB"/>
        </w:rPr>
        <w:t xml:space="preserve"> to any of the questions</w:t>
      </w:r>
      <w:r>
        <w:t xml:space="preserve"> </w:t>
      </w:r>
      <w:r>
        <w:rPr>
          <w:rFonts w:ascii="Arial" w:hAnsi="Arial" w:eastAsia="Arial" w:cs="Arial"/>
          <w:sz w:val="24"/>
          <w:szCs w:val="24"/>
          <w:lang w:eastAsia="en-GB"/>
        </w:rPr>
        <w:t xml:space="preserve">submit the completed checklist with your planning application. You will also need to submit an Ecological Impact Assessment with your application (unless a pre-application response confirms this is not required). </w:t>
      </w:r>
    </w:p>
    <w:p>
      <w:pPr>
        <w:spacing w:after="240" w:line="240" w:lineRule="auto"/>
        <w:contextualSpacing/>
        <w:rPr>
          <w:rFonts w:ascii="Arial" w:hAnsi="Arial" w:eastAsia="Arial" w:cs="Arial"/>
          <w:sz w:val="24"/>
          <w:szCs w:val="24"/>
          <w:lang w:eastAsia="en-GB"/>
        </w:rPr>
      </w:pPr>
      <w:r>
        <w:rPr>
          <w:rFonts w:ascii="Arial" w:hAnsi="Arial" w:eastAsia="Arial" w:cs="Arial"/>
          <w:color w:val="000000"/>
          <w:sz w:val="24"/>
          <w:szCs w:val="24"/>
          <w:lang w:eastAsia="en-GB"/>
        </w:rPr>
        <w:t>Ecological Impact Assessments should be undertaken and prepared by competent persons with suitable qualifications and experience and must be carried out at an appropriate time and season, in suitable weather conditions and using nationally recognised survey guidelines/ methods where available. Further information on appropriate survey methods and impact assessment can be found in the Guidance section of the Chartered Institute of Ecology and Environmental Management (CIEEM) website, including </w:t>
      </w:r>
      <w:r>
        <w:fldChar w:fldCharType="begin"/>
      </w:r>
      <w:r>
        <w:instrText xml:space="preserve"> HYPERLINK "https://cieem.net/resource/guidelines-for-ecological-impact-assessment-ecia/" \h </w:instrText>
      </w:r>
      <w:r>
        <w:fldChar w:fldCharType="separate"/>
      </w:r>
      <w:r>
        <w:rPr>
          <w:rFonts w:ascii="Arial" w:hAnsi="Arial" w:eastAsia="Arial" w:cs="Arial"/>
          <w:color w:val="0000FF"/>
          <w:sz w:val="24"/>
          <w:szCs w:val="24"/>
          <w:u w:val="single"/>
          <w:lang w:eastAsia="en-GB"/>
        </w:rPr>
        <w:t>Guidelines for Ecological Impact Assessment</w:t>
      </w:r>
      <w:r>
        <w:rPr>
          <w:rFonts w:ascii="Arial" w:hAnsi="Arial" w:eastAsia="Arial" w:cs="Arial"/>
          <w:color w:val="0000FF"/>
          <w:sz w:val="24"/>
          <w:szCs w:val="24"/>
          <w:u w:val="single"/>
          <w:lang w:eastAsia="en-GB"/>
        </w:rPr>
        <w:fldChar w:fldCharType="end"/>
      </w:r>
      <w:r>
        <w:rPr>
          <w:rFonts w:ascii="Arial" w:hAnsi="Arial" w:eastAsia="Arial" w:cs="Arial"/>
          <w:color w:val="000000"/>
          <w:sz w:val="24"/>
          <w:szCs w:val="24"/>
          <w:lang w:eastAsia="en-GB"/>
        </w:rPr>
        <w:t> and </w:t>
      </w:r>
      <w:r>
        <w:fldChar w:fldCharType="begin"/>
      </w:r>
      <w:r>
        <w:instrText xml:space="preserve"> HYPERLINK "https://cieem.net/resource/guidelines-for-ecological-report-writing/" \h </w:instrText>
      </w:r>
      <w:r>
        <w:fldChar w:fldCharType="separate"/>
      </w:r>
      <w:r>
        <w:rPr>
          <w:rFonts w:ascii="Arial" w:hAnsi="Arial" w:eastAsia="Arial" w:cs="Arial"/>
          <w:color w:val="0000FF"/>
          <w:sz w:val="24"/>
          <w:szCs w:val="24"/>
          <w:u w:val="single"/>
          <w:lang w:eastAsia="en-GB"/>
        </w:rPr>
        <w:t>Guidelines for Ecological Report Writing</w:t>
      </w:r>
      <w:r>
        <w:rPr>
          <w:rFonts w:ascii="Arial" w:hAnsi="Arial" w:eastAsia="Arial" w:cs="Arial"/>
          <w:color w:val="0000FF"/>
          <w:sz w:val="24"/>
          <w:szCs w:val="24"/>
          <w:u w:val="single"/>
          <w:lang w:eastAsia="en-GB"/>
        </w:rPr>
        <w:fldChar w:fldCharType="end"/>
      </w:r>
      <w:r>
        <w:rPr>
          <w:rFonts w:ascii="Arial" w:hAnsi="Arial" w:eastAsia="Arial" w:cs="Arial"/>
          <w:color w:val="000000"/>
          <w:sz w:val="24"/>
          <w:szCs w:val="24"/>
          <w:lang w:eastAsia="en-GB"/>
        </w:rPr>
        <w:t>. The survey must be informed by the results of a search for ecological data from the </w:t>
      </w:r>
      <w:r>
        <w:fldChar w:fldCharType="begin"/>
      </w:r>
      <w:r>
        <w:instrText xml:space="preserve"> HYPERLINK "https://www.ericnortheast.org.uk/" \h </w:instrText>
      </w:r>
      <w:r>
        <w:fldChar w:fldCharType="separate"/>
      </w:r>
      <w:r>
        <w:rPr>
          <w:rFonts w:ascii="Arial" w:hAnsi="Arial" w:eastAsia="Arial" w:cs="Arial"/>
          <w:color w:val="0563C1"/>
          <w:sz w:val="24"/>
          <w:szCs w:val="24"/>
          <w:u w:val="single"/>
          <w:lang w:eastAsia="en-GB"/>
        </w:rPr>
        <w:t>Environmental Records Centre North East</w:t>
      </w:r>
      <w:r>
        <w:rPr>
          <w:rFonts w:ascii="Arial" w:hAnsi="Arial" w:eastAsia="Arial" w:cs="Arial"/>
          <w:color w:val="0563C1"/>
          <w:sz w:val="24"/>
          <w:szCs w:val="24"/>
          <w:u w:val="single"/>
          <w:lang w:eastAsia="en-GB"/>
        </w:rPr>
        <w:fldChar w:fldCharType="end"/>
      </w:r>
      <w:r>
        <w:rPr>
          <w:rFonts w:ascii="Arial" w:hAnsi="Arial" w:eastAsia="Arial" w:cs="Arial"/>
          <w:sz w:val="24"/>
          <w:szCs w:val="24"/>
          <w:lang w:eastAsia="en-GB"/>
        </w:rPr>
        <w:t>. </w:t>
      </w:r>
    </w:p>
    <w:p>
      <w:pPr>
        <w:spacing w:after="240" w:line="240" w:lineRule="auto"/>
        <w:contextualSpacing/>
        <w:rPr>
          <w:rFonts w:ascii="Arial" w:hAnsi="Arial" w:eastAsia="Arial" w:cs="Arial"/>
          <w:sz w:val="24"/>
          <w:szCs w:val="24"/>
          <w:lang w:eastAsia="en-GB"/>
        </w:rPr>
      </w:pPr>
    </w:p>
    <w:p>
      <w:pPr>
        <w:rPr>
          <w:rFonts w:ascii="Arial" w:hAnsi="Arial" w:eastAsia="Arial" w:cs="Arial"/>
          <w:b/>
          <w:bCs/>
          <w:sz w:val="24"/>
          <w:szCs w:val="24"/>
          <w:lang w:eastAsia="en-GB"/>
        </w:rPr>
      </w:pPr>
      <w:r>
        <w:rPr>
          <w:rFonts w:ascii="Arial" w:hAnsi="Arial" w:eastAsia="Arial" w:cs="Arial"/>
          <w:sz w:val="24"/>
          <w:szCs w:val="24"/>
          <w:lang w:eastAsia="en-GB"/>
        </w:rPr>
        <w:t xml:space="preserve">*Although the development itself may not seem harmful, applicants would still need to assess the impacts of the construction phase (e.g. noise disturbance etc) on the special features of the designated site, for example, constructing it might require some controls (mitigation). </w:t>
      </w:r>
    </w:p>
    <w:p>
      <w:pPr>
        <w:spacing w:after="240" w:line="240" w:lineRule="auto"/>
        <w:contextualSpacing/>
        <w:rPr>
          <w:rFonts w:ascii="Arial" w:hAnsi="Arial" w:eastAsia="Arial" w:cs="Arial"/>
          <w:color w:val="000000"/>
          <w:sz w:val="24"/>
          <w:szCs w:val="24"/>
          <w:lang w:eastAsia="en-GB"/>
        </w:rPr>
      </w:pPr>
      <w:r>
        <w:rPr>
          <w:rFonts w:ascii="Arial" w:hAnsi="Arial" w:eastAsia="Arial" w:cs="Arial"/>
          <w:color w:val="000000" w:themeColor="text1"/>
          <w:sz w:val="24"/>
          <w:szCs w:val="24"/>
          <w:lang w:eastAsia="en-GB"/>
          <w14:textFill>
            <w14:solidFill>
              <w14:schemeClr w14:val="tx1"/>
            </w14:solidFill>
          </w14:textFill>
        </w:rPr>
        <w:t>Applications that could potentially affect European sites (SPAs, SACs and Ramsar Sites) will be screened by the Local Planning Authority to determine if they are likely to have a significant effect on any of the interest features of that site, either alone or in-combination with other plans and projects. Unless it can be clearly demonstrated that they will not have a significant effect, they will then be subject to an appropriate assessment by the Local Planning Authority under the Conservation of Habitats and Species Regulations 2017 as amended.</w:t>
      </w:r>
    </w:p>
    <w:sectPr>
      <w:pgSz w:w="11906" w:h="16838"/>
      <w:pgMar w:top="720"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0A"/>
    <w:rsid w:val="00031775"/>
    <w:rsid w:val="000418BA"/>
    <w:rsid w:val="0004300D"/>
    <w:rsid w:val="00051144"/>
    <w:rsid w:val="000848A9"/>
    <w:rsid w:val="00093EA4"/>
    <w:rsid w:val="000E1DD9"/>
    <w:rsid w:val="000F2899"/>
    <w:rsid w:val="000F610F"/>
    <w:rsid w:val="00117F0A"/>
    <w:rsid w:val="001467A9"/>
    <w:rsid w:val="00196255"/>
    <w:rsid w:val="001C2A0B"/>
    <w:rsid w:val="001F13DF"/>
    <w:rsid w:val="00215A94"/>
    <w:rsid w:val="00225741"/>
    <w:rsid w:val="00284E3B"/>
    <w:rsid w:val="002B5195"/>
    <w:rsid w:val="002C66DC"/>
    <w:rsid w:val="002F25D7"/>
    <w:rsid w:val="00310E03"/>
    <w:rsid w:val="00312178"/>
    <w:rsid w:val="00313661"/>
    <w:rsid w:val="00344FB8"/>
    <w:rsid w:val="003B6AA9"/>
    <w:rsid w:val="003D25B7"/>
    <w:rsid w:val="004049D9"/>
    <w:rsid w:val="00405D5D"/>
    <w:rsid w:val="00410AB6"/>
    <w:rsid w:val="00445331"/>
    <w:rsid w:val="004A7C40"/>
    <w:rsid w:val="004C7BAE"/>
    <w:rsid w:val="004F0722"/>
    <w:rsid w:val="004F409A"/>
    <w:rsid w:val="00537C8F"/>
    <w:rsid w:val="0054595A"/>
    <w:rsid w:val="00566AA8"/>
    <w:rsid w:val="0057571E"/>
    <w:rsid w:val="0058231A"/>
    <w:rsid w:val="005B330F"/>
    <w:rsid w:val="005C460E"/>
    <w:rsid w:val="005C6284"/>
    <w:rsid w:val="005E16EF"/>
    <w:rsid w:val="005E1DB8"/>
    <w:rsid w:val="005F6DFE"/>
    <w:rsid w:val="0067676C"/>
    <w:rsid w:val="006B0A75"/>
    <w:rsid w:val="00780590"/>
    <w:rsid w:val="00795B4A"/>
    <w:rsid w:val="007A0EFD"/>
    <w:rsid w:val="007C2D8A"/>
    <w:rsid w:val="007E673A"/>
    <w:rsid w:val="008035A4"/>
    <w:rsid w:val="008158C3"/>
    <w:rsid w:val="00815B1B"/>
    <w:rsid w:val="0085562A"/>
    <w:rsid w:val="00873245"/>
    <w:rsid w:val="00894EE0"/>
    <w:rsid w:val="00896273"/>
    <w:rsid w:val="008B05BB"/>
    <w:rsid w:val="008B07E7"/>
    <w:rsid w:val="00925F3D"/>
    <w:rsid w:val="009540F3"/>
    <w:rsid w:val="0098409F"/>
    <w:rsid w:val="009A660B"/>
    <w:rsid w:val="009C7942"/>
    <w:rsid w:val="009D1584"/>
    <w:rsid w:val="009F7CE0"/>
    <w:rsid w:val="00A07C5C"/>
    <w:rsid w:val="00A4755D"/>
    <w:rsid w:val="00A65609"/>
    <w:rsid w:val="00A65AE5"/>
    <w:rsid w:val="00A71198"/>
    <w:rsid w:val="00A7740A"/>
    <w:rsid w:val="00A80028"/>
    <w:rsid w:val="00AA66DE"/>
    <w:rsid w:val="00AC2994"/>
    <w:rsid w:val="00AC788B"/>
    <w:rsid w:val="00AE11BE"/>
    <w:rsid w:val="00B019DA"/>
    <w:rsid w:val="00B11CB6"/>
    <w:rsid w:val="00B12D4F"/>
    <w:rsid w:val="00B26E42"/>
    <w:rsid w:val="00B35803"/>
    <w:rsid w:val="00BB5A52"/>
    <w:rsid w:val="00BD02C0"/>
    <w:rsid w:val="00C31ECD"/>
    <w:rsid w:val="00C37257"/>
    <w:rsid w:val="00C4242E"/>
    <w:rsid w:val="00C45E4E"/>
    <w:rsid w:val="00C5107F"/>
    <w:rsid w:val="00CB68C2"/>
    <w:rsid w:val="00CB7253"/>
    <w:rsid w:val="00CD236B"/>
    <w:rsid w:val="00CF70D7"/>
    <w:rsid w:val="00D26FF0"/>
    <w:rsid w:val="00D32E1C"/>
    <w:rsid w:val="00D3511E"/>
    <w:rsid w:val="00D46F3F"/>
    <w:rsid w:val="00D7053C"/>
    <w:rsid w:val="00D86308"/>
    <w:rsid w:val="00D92485"/>
    <w:rsid w:val="00DA0E4A"/>
    <w:rsid w:val="00DA6A9C"/>
    <w:rsid w:val="00DB4ECD"/>
    <w:rsid w:val="00DB55DA"/>
    <w:rsid w:val="00DC6E69"/>
    <w:rsid w:val="00DF0ECD"/>
    <w:rsid w:val="00DF3E0C"/>
    <w:rsid w:val="00DF6301"/>
    <w:rsid w:val="00E034D9"/>
    <w:rsid w:val="00E04045"/>
    <w:rsid w:val="00E11896"/>
    <w:rsid w:val="00E32E99"/>
    <w:rsid w:val="00E37335"/>
    <w:rsid w:val="00E567F4"/>
    <w:rsid w:val="00E72511"/>
    <w:rsid w:val="00E91055"/>
    <w:rsid w:val="00EA3864"/>
    <w:rsid w:val="00EA4A88"/>
    <w:rsid w:val="00EA5667"/>
    <w:rsid w:val="00F119F2"/>
    <w:rsid w:val="00F2118D"/>
    <w:rsid w:val="00F26952"/>
    <w:rsid w:val="00F3460E"/>
    <w:rsid w:val="00F52C12"/>
    <w:rsid w:val="00F85772"/>
    <w:rsid w:val="00FB5DE5"/>
    <w:rsid w:val="00FD3047"/>
    <w:rsid w:val="00FF368C"/>
    <w:rsid w:val="030CBAAA"/>
    <w:rsid w:val="0CB48583"/>
    <w:rsid w:val="1ADFC597"/>
    <w:rsid w:val="2B60747B"/>
    <w:rsid w:val="2BA968F8"/>
    <w:rsid w:val="2C639C8F"/>
    <w:rsid w:val="33D4BDC8"/>
    <w:rsid w:val="36957B56"/>
    <w:rsid w:val="465BEFB4"/>
    <w:rsid w:val="469E5FF0"/>
    <w:rsid w:val="49391E8B"/>
    <w:rsid w:val="4E2AF8BB"/>
    <w:rsid w:val="57FAEB4F"/>
    <w:rsid w:val="5923373C"/>
    <w:rsid w:val="6188A538"/>
    <w:rsid w:val="65156D9E"/>
    <w:rsid w:val="6CC62B61"/>
    <w:rsid w:val="72359B99"/>
    <w:rsid w:val="781F33B8"/>
    <w:rsid w:val="79C8C1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1"/>
    <w:qFormat/>
    <w:uiPriority w:val="9"/>
    <w:pPr>
      <w:keepNext/>
      <w:keepLines/>
      <w:spacing w:before="360" w:after="120" w:line="240" w:lineRule="auto"/>
      <w:contextualSpacing/>
      <w:outlineLvl w:val="0"/>
    </w:pPr>
    <w:rPr>
      <w:rFonts w:ascii="Arial" w:hAnsi="Arial" w:eastAsia="Arial" w:cs="Arial"/>
      <w:b/>
      <w:bCs/>
      <w:color w:val="005596"/>
      <w:sz w:val="32"/>
      <w:szCs w:val="32"/>
      <w:lang w:eastAsia="en-GB"/>
    </w:rPr>
  </w:style>
  <w:style w:type="paragraph" w:styleId="3">
    <w:name w:val="heading 2"/>
    <w:basedOn w:val="1"/>
    <w:next w:val="1"/>
    <w:link w:val="12"/>
    <w:unhideWhenUsed/>
    <w:qFormat/>
    <w:uiPriority w:val="9"/>
    <w:pPr>
      <w:spacing w:after="240" w:line="240" w:lineRule="auto"/>
      <w:contextualSpacing/>
      <w:outlineLvl w:val="1"/>
    </w:pPr>
    <w:rPr>
      <w:rFonts w:ascii="Arial" w:hAnsi="Arial" w:eastAsia="Times New Roman" w:cs="Arial"/>
      <w:b/>
      <w:bCs/>
      <w:color w:val="434343"/>
      <w:sz w:val="28"/>
      <w:szCs w:val="28"/>
      <w:lang w:eastAsia="en-GB"/>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basedOn w:val="4"/>
    <w:semiHidden/>
    <w:unhideWhenUsed/>
    <w:uiPriority w:val="99"/>
    <w:rPr>
      <w:sz w:val="16"/>
      <w:szCs w:val="16"/>
    </w:rPr>
  </w:style>
  <w:style w:type="paragraph" w:styleId="7">
    <w:name w:val="annotation text"/>
    <w:basedOn w:val="1"/>
    <w:link w:val="13"/>
    <w:semiHidden/>
    <w:unhideWhenUsed/>
    <w:uiPriority w:val="99"/>
    <w:pPr>
      <w:spacing w:line="240" w:lineRule="auto"/>
    </w:pPr>
    <w:rPr>
      <w:sz w:val="20"/>
      <w:szCs w:val="20"/>
    </w:rPr>
  </w:style>
  <w:style w:type="paragraph" w:styleId="8">
    <w:name w:val="annotation subject"/>
    <w:basedOn w:val="7"/>
    <w:next w:val="7"/>
    <w:link w:val="14"/>
    <w:semiHidden/>
    <w:unhideWhenUsed/>
    <w:uiPriority w:val="99"/>
    <w:rPr>
      <w:b/>
      <w:bCs/>
    </w:rPr>
  </w:style>
  <w:style w:type="character" w:styleId="9">
    <w:name w:val="Hyperlink"/>
    <w:basedOn w:val="4"/>
    <w:unhideWhenUsed/>
    <w:uiPriority w:val="99"/>
    <w:rPr>
      <w:color w:val="0563C1" w:themeColor="hyperlink"/>
      <w:u w:val="single"/>
      <w14:textFill>
        <w14:solidFill>
          <w14:schemeClr w14:val="hlink"/>
        </w14:solidFill>
      </w14:textFill>
    </w:rPr>
  </w:style>
  <w:style w:type="character" w:customStyle="1" w:styleId="10">
    <w:name w:val="Unresolved Mention"/>
    <w:basedOn w:val="4"/>
    <w:semiHidden/>
    <w:unhideWhenUsed/>
    <w:uiPriority w:val="99"/>
    <w:rPr>
      <w:color w:val="605E5C"/>
      <w:shd w:val="clear" w:color="auto" w:fill="E1DFDD"/>
    </w:rPr>
  </w:style>
  <w:style w:type="character" w:customStyle="1" w:styleId="11">
    <w:name w:val="Heading 1 Char"/>
    <w:basedOn w:val="4"/>
    <w:link w:val="2"/>
    <w:uiPriority w:val="9"/>
    <w:rPr>
      <w:rFonts w:ascii="Arial" w:hAnsi="Arial" w:eastAsia="Arial" w:cs="Arial"/>
      <w:b/>
      <w:bCs/>
      <w:color w:val="005596"/>
      <w:sz w:val="32"/>
      <w:szCs w:val="32"/>
      <w:lang w:eastAsia="en-GB"/>
    </w:rPr>
  </w:style>
  <w:style w:type="character" w:customStyle="1" w:styleId="12">
    <w:name w:val="Heading 2 Char"/>
    <w:basedOn w:val="4"/>
    <w:link w:val="3"/>
    <w:uiPriority w:val="9"/>
    <w:rPr>
      <w:rFonts w:ascii="Arial" w:hAnsi="Arial" w:eastAsia="Times New Roman" w:cs="Arial"/>
      <w:b/>
      <w:bCs/>
      <w:color w:val="434343"/>
      <w:sz w:val="28"/>
      <w:szCs w:val="28"/>
      <w:lang w:eastAsia="en-GB"/>
    </w:rPr>
  </w:style>
  <w:style w:type="character" w:customStyle="1" w:styleId="13">
    <w:name w:val="Comment Text Char"/>
    <w:basedOn w:val="4"/>
    <w:link w:val="7"/>
    <w:semiHidden/>
    <w:uiPriority w:val="99"/>
    <w:rPr>
      <w:sz w:val="20"/>
      <w:szCs w:val="20"/>
    </w:rPr>
  </w:style>
  <w:style w:type="character" w:customStyle="1" w:styleId="14">
    <w:name w:val="Comment Subject Char"/>
    <w:basedOn w:val="13"/>
    <w:link w:val="8"/>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83c3d7-aa5c-4165-b9bd-83396eb85818" xsi:nil="true"/>
    <_ip_UnifiedCompliancePolicyProperties xmlns="http://schemas.microsoft.com/sharepoint/v3" xsi:nil="true"/>
    <DateandTime xmlns="5683c3d7-aa5c-4165-b9bd-83396eb85818" xsi:nil="true"/>
    <lcf76f155ced4ddcb4097134ff3c332f xmlns="5683c3d7-aa5c-4165-b9bd-83396eb85818">
      <Terms xmlns="http://schemas.microsoft.com/office/infopath/2007/PartnerControls"/>
    </lcf76f155ced4ddcb4097134ff3c332f>
    <TaxCatchAll xmlns="918be825-097a-4c4e-8894-9a02a6d344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2" ma:contentTypeDescription="Create a new document." ma:contentTypeScope="" ma:versionID="6d3cdd0392f5df6badcae573e600b427">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269fba0d922201cd974a048d518c3ec2"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4836C-2020-4084-ABF7-3BCCAE190AF2}">
  <ds:schemaRefs/>
</ds:datastoreItem>
</file>

<file path=customXml/itemProps2.xml><?xml version="1.0" encoding="utf-8"?>
<ds:datastoreItem xmlns:ds="http://schemas.openxmlformats.org/officeDocument/2006/customXml" ds:itemID="{7082F14A-1A6F-4500-B769-9E65BA4582FF}">
  <ds:schemaRefs/>
</ds:datastoreItem>
</file>

<file path=customXml/itemProps3.xml><?xml version="1.0" encoding="utf-8"?>
<ds:datastoreItem xmlns:ds="http://schemas.openxmlformats.org/officeDocument/2006/customXml" ds:itemID="{BB9A6E66-A07D-4B6C-86B3-9A4E3B66E2AB}">
  <ds:schemaRefs/>
</ds:datastoreItem>
</file>

<file path=docProps/app.xml><?xml version="1.0" encoding="utf-8"?>
<Properties xmlns="http://schemas.openxmlformats.org/officeDocument/2006/extended-properties" xmlns:vt="http://schemas.openxmlformats.org/officeDocument/2006/docPropsVTypes">
  <Template>Normal</Template>
  <Pages>3</Pages>
  <Words>1032</Words>
  <Characters>5888</Characters>
  <Lines>49</Lines>
  <Paragraphs>13</Paragraphs>
  <TotalTime>5</TotalTime>
  <ScaleCrop>false</ScaleCrop>
  <LinksUpToDate>false</LinksUpToDate>
  <CharactersWithSpaces>6907</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2022-05-03T08:09:00Z</dcterms:created>
  <dc:creator>Joanne Purnell</dc:creator>
  <cp:lastModifiedBy>Neil Harcus</cp:lastModifiedBy>
  <dcterms:modified xsi:type="dcterms:W3CDTF">2022-08-08T12:03:26Z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MediaServiceImageTags">
    <vt:lpwstr/>
  </property>
  <property fmtid="{D5CDD505-2E9C-101B-9397-08002B2CF9AE}" pid="4" name="KSOProductBuildVer">
    <vt:lpwstr>2057-11.2.0.11191</vt:lpwstr>
  </property>
  <property fmtid="{D5CDD505-2E9C-101B-9397-08002B2CF9AE}" pid="5" name="ICV">
    <vt:lpwstr>B8EC28936DBB488AB307813CEC2118E1</vt:lpwstr>
  </property>
</Properties>
</file>