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10F25" w14:textId="58C208BB" w:rsidR="00B62071" w:rsidRPr="004574B9" w:rsidRDefault="00B62071">
      <w:pPr>
        <w:rPr>
          <w:b/>
          <w:bCs/>
          <w:sz w:val="26"/>
          <w:szCs w:val="26"/>
        </w:rPr>
      </w:pPr>
      <w:r w:rsidRPr="004574B9">
        <w:rPr>
          <w:b/>
          <w:bCs/>
          <w:sz w:val="26"/>
          <w:szCs w:val="26"/>
        </w:rPr>
        <w:t xml:space="preserve">THE SCHOOL HOUSE, 64, UTTOXETER ROAD, HILL RIDWARE, STAFFORDSHIRE </w:t>
      </w:r>
    </w:p>
    <w:p w14:paraId="463EB4A7" w14:textId="372A5CE2" w:rsidR="00B62071" w:rsidRPr="004574B9" w:rsidRDefault="0002501F">
      <w:pPr>
        <w:rPr>
          <w:b/>
          <w:bCs/>
          <w:sz w:val="26"/>
          <w:szCs w:val="26"/>
        </w:rPr>
      </w:pPr>
      <w:r>
        <w:rPr>
          <w:b/>
          <w:bCs/>
          <w:sz w:val="26"/>
          <w:szCs w:val="26"/>
        </w:rPr>
        <w:t xml:space="preserve">Design, </w:t>
      </w:r>
      <w:proofErr w:type="gramStart"/>
      <w:r>
        <w:rPr>
          <w:b/>
          <w:bCs/>
          <w:sz w:val="26"/>
          <w:szCs w:val="26"/>
        </w:rPr>
        <w:t>Access</w:t>
      </w:r>
      <w:proofErr w:type="gramEnd"/>
      <w:r>
        <w:rPr>
          <w:b/>
          <w:bCs/>
          <w:sz w:val="26"/>
          <w:szCs w:val="26"/>
        </w:rPr>
        <w:t xml:space="preserve"> and </w:t>
      </w:r>
      <w:r w:rsidR="00B62071" w:rsidRPr="004574B9">
        <w:rPr>
          <w:b/>
          <w:bCs/>
          <w:sz w:val="26"/>
          <w:szCs w:val="26"/>
        </w:rPr>
        <w:t>Heritage Statement to accompany proposed for internal dry-lining and insulation.</w:t>
      </w:r>
    </w:p>
    <w:p w14:paraId="046526FB" w14:textId="03CC5F23" w:rsidR="00B62071" w:rsidRPr="004574B9" w:rsidRDefault="00B62071">
      <w:pPr>
        <w:rPr>
          <w:sz w:val="26"/>
          <w:szCs w:val="26"/>
        </w:rPr>
      </w:pPr>
      <w:r w:rsidRPr="004574B9">
        <w:rPr>
          <w:sz w:val="26"/>
          <w:szCs w:val="26"/>
        </w:rPr>
        <w:t>This statement is submitted in line with paragraph 194 of the National Planning Policy Framework 2021, which says:</w:t>
      </w:r>
    </w:p>
    <w:p w14:paraId="4155503A" w14:textId="2BF892AB" w:rsidR="00C814DD" w:rsidRPr="004574B9" w:rsidRDefault="00C814DD" w:rsidP="00C814DD">
      <w:pPr>
        <w:ind w:left="720"/>
        <w:rPr>
          <w:sz w:val="26"/>
          <w:szCs w:val="26"/>
        </w:rPr>
      </w:pPr>
      <w:r w:rsidRPr="004574B9">
        <w:rPr>
          <w:sz w:val="26"/>
          <w:szCs w:val="26"/>
        </w:rPr>
        <w:t>“In determining applications, local planning authorities should require an applicant to describe the significance of any heritage assets affected, including any contribution made by their setting. The level of detail should be proportionate to the assets’ importance and no more than is sufficient to understand the potential impact of the proposal on their significance. As a minimum the relevant historic environment record should have been consulted and the heritage assets assessed using appropriate expertise where necessary. Where a site on which development is proposed includes, or has the potential to include, heritage assets with archaeological interest, local planning authorities should require developers to submit an appropriate desk-based assessment and, where necessary, a field evaluation.”</w:t>
      </w:r>
    </w:p>
    <w:p w14:paraId="19FAC4C2" w14:textId="3E4E9760" w:rsidR="00B62071" w:rsidRPr="004574B9" w:rsidRDefault="00B62071">
      <w:pPr>
        <w:rPr>
          <w:sz w:val="26"/>
          <w:szCs w:val="26"/>
        </w:rPr>
      </w:pPr>
      <w:r w:rsidRPr="004574B9">
        <w:rPr>
          <w:sz w:val="26"/>
          <w:szCs w:val="26"/>
        </w:rPr>
        <w:t xml:space="preserve">The heritage asset in question is the School House, a Grade II listed building now divided in two. The southern part, no. 64a, is now known as </w:t>
      </w:r>
      <w:r w:rsidR="00915353" w:rsidRPr="004574B9">
        <w:rPr>
          <w:sz w:val="26"/>
          <w:szCs w:val="26"/>
        </w:rPr>
        <w:t>“</w:t>
      </w:r>
      <w:r w:rsidRPr="004574B9">
        <w:rPr>
          <w:sz w:val="26"/>
          <w:szCs w:val="26"/>
        </w:rPr>
        <w:t>Wister</w:t>
      </w:r>
      <w:r w:rsidR="00915353" w:rsidRPr="004574B9">
        <w:rPr>
          <w:sz w:val="26"/>
          <w:szCs w:val="26"/>
        </w:rPr>
        <w:t>ia Cottage”</w:t>
      </w:r>
      <w:r w:rsidRPr="004574B9">
        <w:rPr>
          <w:sz w:val="26"/>
          <w:szCs w:val="26"/>
        </w:rPr>
        <w:t>, and is not affected by the present proposal.</w:t>
      </w:r>
    </w:p>
    <w:p w14:paraId="240C42A4" w14:textId="6EC4498C" w:rsidR="00B62071" w:rsidRPr="004574B9" w:rsidRDefault="00B62071" w:rsidP="00B62071">
      <w:pPr>
        <w:rPr>
          <w:sz w:val="26"/>
          <w:szCs w:val="26"/>
        </w:rPr>
      </w:pPr>
      <w:r w:rsidRPr="004574B9">
        <w:rPr>
          <w:sz w:val="26"/>
          <w:szCs w:val="26"/>
        </w:rPr>
        <w:t>The house was first listed on 5/10/1987, and the list description is as follows:</w:t>
      </w:r>
    </w:p>
    <w:p w14:paraId="526A8107" w14:textId="3943C2E8" w:rsidR="00B62071" w:rsidRPr="004574B9" w:rsidRDefault="00B62071" w:rsidP="00B62071">
      <w:pPr>
        <w:ind w:left="720"/>
        <w:rPr>
          <w:sz w:val="26"/>
          <w:szCs w:val="26"/>
        </w:rPr>
      </w:pPr>
      <w:r w:rsidRPr="004574B9">
        <w:rPr>
          <w:sz w:val="26"/>
          <w:szCs w:val="26"/>
        </w:rPr>
        <w:t xml:space="preserve">“House. Mid C18. Red brick; plain tile roof with raised verges; brick ridge stack and integral end stack. Two storeys with </w:t>
      </w:r>
      <w:proofErr w:type="spellStart"/>
      <w:r w:rsidRPr="004574B9">
        <w:rPr>
          <w:sz w:val="26"/>
          <w:szCs w:val="26"/>
        </w:rPr>
        <w:t>dentilled</w:t>
      </w:r>
      <w:proofErr w:type="spellEnd"/>
      <w:r w:rsidRPr="004574B9">
        <w:rPr>
          <w:sz w:val="26"/>
          <w:szCs w:val="26"/>
        </w:rPr>
        <w:t xml:space="preserve"> eaves band. Three window </w:t>
      </w:r>
      <w:proofErr w:type="gramStart"/>
      <w:r w:rsidRPr="004574B9">
        <w:rPr>
          <w:sz w:val="26"/>
          <w:szCs w:val="26"/>
        </w:rPr>
        <w:t>front</w:t>
      </w:r>
      <w:proofErr w:type="gramEnd"/>
      <w:r w:rsidRPr="004574B9">
        <w:rPr>
          <w:sz w:val="26"/>
          <w:szCs w:val="26"/>
        </w:rPr>
        <w:t>: casements with segmental heads, the left hand ground floor window is taller than the others. Gabled porch to left of centre.”</w:t>
      </w:r>
    </w:p>
    <w:p w14:paraId="77990815" w14:textId="1F1085CF" w:rsidR="00B62071" w:rsidRPr="004574B9" w:rsidRDefault="00B62071" w:rsidP="00B62071">
      <w:pPr>
        <w:rPr>
          <w:sz w:val="26"/>
          <w:szCs w:val="26"/>
        </w:rPr>
      </w:pPr>
      <w:r w:rsidRPr="004574B9">
        <w:rPr>
          <w:sz w:val="26"/>
          <w:szCs w:val="26"/>
        </w:rPr>
        <w:t>The house has the appearance of a former farmhouse, the earliest brickwork being at the parlour end to the south, now part of</w:t>
      </w:r>
      <w:r w:rsidR="00704BD9" w:rsidRPr="004574B9">
        <w:rPr>
          <w:sz w:val="26"/>
          <w:szCs w:val="26"/>
        </w:rPr>
        <w:t xml:space="preserve"> “Wisteria Cottage”.</w:t>
      </w:r>
    </w:p>
    <w:p w14:paraId="69C661B4" w14:textId="1E30A12C" w:rsidR="00B62071" w:rsidRPr="004574B9" w:rsidRDefault="00B62071" w:rsidP="00B62071">
      <w:pPr>
        <w:rPr>
          <w:sz w:val="26"/>
          <w:szCs w:val="26"/>
        </w:rPr>
      </w:pPr>
      <w:r w:rsidRPr="004574B9">
        <w:rPr>
          <w:sz w:val="26"/>
          <w:szCs w:val="26"/>
        </w:rPr>
        <w:t>The north end appears to have been the kitchen end of the farmhouse but</w:t>
      </w:r>
      <w:r w:rsidR="007E42E7" w:rsidRPr="004574B9">
        <w:rPr>
          <w:sz w:val="26"/>
          <w:szCs w:val="26"/>
        </w:rPr>
        <w:t>,</w:t>
      </w:r>
      <w:r w:rsidRPr="004574B9">
        <w:rPr>
          <w:sz w:val="26"/>
          <w:szCs w:val="26"/>
        </w:rPr>
        <w:t xml:space="preserve"> at some point </w:t>
      </w:r>
      <w:r w:rsidR="004F02FF" w:rsidRPr="004574B9">
        <w:rPr>
          <w:sz w:val="26"/>
          <w:szCs w:val="26"/>
        </w:rPr>
        <w:t>prior to 1838</w:t>
      </w:r>
      <w:r w:rsidR="007E42E7" w:rsidRPr="004574B9">
        <w:rPr>
          <w:sz w:val="26"/>
          <w:szCs w:val="26"/>
        </w:rPr>
        <w:t>,</w:t>
      </w:r>
      <w:r w:rsidR="004F02FF" w:rsidRPr="004574B9">
        <w:rPr>
          <w:sz w:val="26"/>
          <w:szCs w:val="26"/>
        </w:rPr>
        <w:t xml:space="preserve"> was </w:t>
      </w:r>
      <w:r w:rsidRPr="004574B9">
        <w:rPr>
          <w:sz w:val="26"/>
          <w:szCs w:val="26"/>
        </w:rPr>
        <w:t xml:space="preserve">adapted as a school. The adaptation was primitively done by removing the internal walls and first floor structure at this end of the </w:t>
      </w:r>
      <w:proofErr w:type="gramStart"/>
      <w:r w:rsidRPr="004574B9">
        <w:rPr>
          <w:sz w:val="26"/>
          <w:szCs w:val="26"/>
        </w:rPr>
        <w:t>building, and</w:t>
      </w:r>
      <w:proofErr w:type="gramEnd"/>
      <w:r w:rsidRPr="004574B9">
        <w:rPr>
          <w:sz w:val="26"/>
          <w:szCs w:val="26"/>
        </w:rPr>
        <w:t xml:space="preserve"> making a full-height window in the front elevation. </w:t>
      </w:r>
    </w:p>
    <w:p w14:paraId="2F21BA36" w14:textId="498DD9A9" w:rsidR="0049361E" w:rsidRPr="004574B9" w:rsidRDefault="0049361E" w:rsidP="00B62071">
      <w:pPr>
        <w:rPr>
          <w:sz w:val="26"/>
          <w:szCs w:val="26"/>
        </w:rPr>
      </w:pPr>
      <w:r w:rsidRPr="004574B9">
        <w:rPr>
          <w:sz w:val="26"/>
          <w:szCs w:val="26"/>
        </w:rPr>
        <w:t xml:space="preserve">At the time of the </w:t>
      </w:r>
      <w:proofErr w:type="spellStart"/>
      <w:r w:rsidR="008A6D74" w:rsidRPr="004574B9">
        <w:rPr>
          <w:sz w:val="26"/>
          <w:szCs w:val="26"/>
        </w:rPr>
        <w:t>Mav</w:t>
      </w:r>
      <w:r w:rsidR="00EA57DB" w:rsidRPr="004574B9">
        <w:rPr>
          <w:sz w:val="26"/>
          <w:szCs w:val="26"/>
        </w:rPr>
        <w:t>e</w:t>
      </w:r>
      <w:r w:rsidR="008A6D74" w:rsidRPr="004574B9">
        <w:rPr>
          <w:sz w:val="26"/>
          <w:szCs w:val="26"/>
        </w:rPr>
        <w:t>syn</w:t>
      </w:r>
      <w:proofErr w:type="spellEnd"/>
      <w:r w:rsidR="008A6D74" w:rsidRPr="004574B9">
        <w:rPr>
          <w:sz w:val="26"/>
          <w:szCs w:val="26"/>
        </w:rPr>
        <w:t xml:space="preserve"> </w:t>
      </w:r>
      <w:proofErr w:type="spellStart"/>
      <w:r w:rsidR="008A6D74" w:rsidRPr="004574B9">
        <w:rPr>
          <w:sz w:val="26"/>
          <w:szCs w:val="26"/>
        </w:rPr>
        <w:t>Ridware</w:t>
      </w:r>
      <w:proofErr w:type="spellEnd"/>
      <w:r w:rsidR="008A6D74" w:rsidRPr="004574B9">
        <w:rPr>
          <w:sz w:val="26"/>
          <w:szCs w:val="26"/>
        </w:rPr>
        <w:t xml:space="preserve"> tithe map </w:t>
      </w:r>
      <w:r w:rsidR="00EA57DB" w:rsidRPr="004574B9">
        <w:rPr>
          <w:sz w:val="26"/>
          <w:szCs w:val="26"/>
        </w:rPr>
        <w:t xml:space="preserve">(1838) </w:t>
      </w:r>
      <w:r w:rsidR="008A6D74" w:rsidRPr="004574B9">
        <w:rPr>
          <w:sz w:val="26"/>
          <w:szCs w:val="26"/>
        </w:rPr>
        <w:t xml:space="preserve">and schedule, the property </w:t>
      </w:r>
      <w:r w:rsidR="00B33EC8" w:rsidRPr="004574B9">
        <w:rPr>
          <w:sz w:val="26"/>
          <w:szCs w:val="26"/>
        </w:rPr>
        <w:t xml:space="preserve">was </w:t>
      </w:r>
      <w:r w:rsidR="008A6D74" w:rsidRPr="004574B9">
        <w:rPr>
          <w:sz w:val="26"/>
          <w:szCs w:val="26"/>
        </w:rPr>
        <w:t xml:space="preserve">already </w:t>
      </w:r>
      <w:r w:rsidR="00B33EC8" w:rsidRPr="004574B9">
        <w:rPr>
          <w:sz w:val="26"/>
          <w:szCs w:val="26"/>
        </w:rPr>
        <w:t xml:space="preserve">a house and school </w:t>
      </w:r>
      <w:r w:rsidR="008A6D74" w:rsidRPr="004574B9">
        <w:rPr>
          <w:sz w:val="26"/>
          <w:szCs w:val="26"/>
        </w:rPr>
        <w:t>belong</w:t>
      </w:r>
      <w:r w:rsidR="00B33EC8" w:rsidRPr="004574B9">
        <w:rPr>
          <w:sz w:val="26"/>
          <w:szCs w:val="26"/>
        </w:rPr>
        <w:t>ing</w:t>
      </w:r>
      <w:r w:rsidR="008A6D74" w:rsidRPr="004574B9">
        <w:rPr>
          <w:sz w:val="26"/>
          <w:szCs w:val="26"/>
        </w:rPr>
        <w:t xml:space="preserve"> to the </w:t>
      </w:r>
      <w:proofErr w:type="spellStart"/>
      <w:r w:rsidR="008A6D74" w:rsidRPr="004574B9">
        <w:rPr>
          <w:sz w:val="26"/>
          <w:szCs w:val="26"/>
        </w:rPr>
        <w:t>Mav</w:t>
      </w:r>
      <w:r w:rsidR="00EA57DB" w:rsidRPr="004574B9">
        <w:rPr>
          <w:sz w:val="26"/>
          <w:szCs w:val="26"/>
        </w:rPr>
        <w:t>e</w:t>
      </w:r>
      <w:r w:rsidR="008A6D74" w:rsidRPr="004574B9">
        <w:rPr>
          <w:sz w:val="26"/>
          <w:szCs w:val="26"/>
        </w:rPr>
        <w:t>syn</w:t>
      </w:r>
      <w:proofErr w:type="spellEnd"/>
      <w:r w:rsidR="008A6D74" w:rsidRPr="004574B9">
        <w:rPr>
          <w:sz w:val="26"/>
          <w:szCs w:val="26"/>
        </w:rPr>
        <w:t xml:space="preserve"> </w:t>
      </w:r>
      <w:proofErr w:type="spellStart"/>
      <w:r w:rsidR="008A6D74" w:rsidRPr="004574B9">
        <w:rPr>
          <w:sz w:val="26"/>
          <w:szCs w:val="26"/>
        </w:rPr>
        <w:t>Ridware</w:t>
      </w:r>
      <w:proofErr w:type="spellEnd"/>
      <w:r w:rsidR="008A6D74" w:rsidRPr="004574B9">
        <w:rPr>
          <w:sz w:val="26"/>
          <w:szCs w:val="26"/>
        </w:rPr>
        <w:t xml:space="preserve"> Church Estate. Could it have been among th</w:t>
      </w:r>
      <w:r w:rsidR="00EA57DB" w:rsidRPr="004574B9">
        <w:rPr>
          <w:sz w:val="26"/>
          <w:szCs w:val="26"/>
        </w:rPr>
        <w:t>e</w:t>
      </w:r>
      <w:r w:rsidR="008A6D74" w:rsidRPr="004574B9">
        <w:rPr>
          <w:sz w:val="26"/>
          <w:szCs w:val="26"/>
        </w:rPr>
        <w:t xml:space="preserve"> propert</w:t>
      </w:r>
      <w:r w:rsidR="006B2E5A" w:rsidRPr="004574B9">
        <w:rPr>
          <w:sz w:val="26"/>
          <w:szCs w:val="26"/>
        </w:rPr>
        <w:t>y</w:t>
      </w:r>
      <w:r w:rsidR="008A6D74" w:rsidRPr="004574B9">
        <w:rPr>
          <w:sz w:val="26"/>
          <w:szCs w:val="26"/>
        </w:rPr>
        <w:t xml:space="preserve"> purchased with a generous bequest left by Daniel Sandford, a former Rector, in 1779?</w:t>
      </w:r>
    </w:p>
    <w:p w14:paraId="5DCE2A01" w14:textId="52C8009F" w:rsidR="002F79F1" w:rsidRPr="004574B9" w:rsidRDefault="004D5AEE" w:rsidP="00B62071">
      <w:pPr>
        <w:rPr>
          <w:sz w:val="26"/>
          <w:szCs w:val="26"/>
        </w:rPr>
      </w:pPr>
      <w:r w:rsidRPr="004574B9">
        <w:rPr>
          <w:sz w:val="26"/>
          <w:szCs w:val="26"/>
        </w:rPr>
        <w:lastRenderedPageBreak/>
        <w:t>By comparing the 25” Ordnance Survey sheets of 1880-2</w:t>
      </w:r>
      <w:r w:rsidR="00A834A4" w:rsidRPr="004574B9">
        <w:rPr>
          <w:sz w:val="26"/>
          <w:szCs w:val="26"/>
        </w:rPr>
        <w:t>, 1900 and 1921, it appears that t</w:t>
      </w:r>
      <w:r w:rsidR="002F79F1" w:rsidRPr="004574B9">
        <w:rPr>
          <w:sz w:val="26"/>
          <w:szCs w:val="26"/>
        </w:rPr>
        <w:t xml:space="preserve">he backward extension of the room in a new piece of building </w:t>
      </w:r>
      <w:r w:rsidR="00A834A4" w:rsidRPr="004574B9">
        <w:rPr>
          <w:sz w:val="26"/>
          <w:szCs w:val="26"/>
        </w:rPr>
        <w:t>was</w:t>
      </w:r>
      <w:r w:rsidR="002F79F1" w:rsidRPr="004574B9">
        <w:rPr>
          <w:sz w:val="26"/>
          <w:szCs w:val="26"/>
        </w:rPr>
        <w:t xml:space="preserve"> done in </w:t>
      </w:r>
      <w:r w:rsidRPr="004574B9">
        <w:rPr>
          <w:sz w:val="26"/>
          <w:szCs w:val="26"/>
        </w:rPr>
        <w:t xml:space="preserve">at least </w:t>
      </w:r>
      <w:r w:rsidR="00A834A4" w:rsidRPr="004574B9">
        <w:rPr>
          <w:sz w:val="26"/>
          <w:szCs w:val="26"/>
        </w:rPr>
        <w:t xml:space="preserve">two </w:t>
      </w:r>
      <w:r w:rsidR="002F79F1" w:rsidRPr="004574B9">
        <w:rPr>
          <w:sz w:val="26"/>
          <w:szCs w:val="26"/>
        </w:rPr>
        <w:t>stages</w:t>
      </w:r>
      <w:r w:rsidR="00A834A4" w:rsidRPr="004574B9">
        <w:rPr>
          <w:sz w:val="26"/>
          <w:szCs w:val="26"/>
        </w:rPr>
        <w:t>, though there seems no obvious evidence of that in the fabric today</w:t>
      </w:r>
      <w:r w:rsidR="002F79F1" w:rsidRPr="004574B9">
        <w:rPr>
          <w:sz w:val="26"/>
          <w:szCs w:val="26"/>
        </w:rPr>
        <w:t xml:space="preserve">. </w:t>
      </w:r>
    </w:p>
    <w:p w14:paraId="35F81747" w14:textId="77777777" w:rsidR="00E35C7A" w:rsidRPr="004574B9" w:rsidRDefault="00A62FFB" w:rsidP="00B62071">
      <w:pPr>
        <w:rPr>
          <w:sz w:val="26"/>
          <w:szCs w:val="26"/>
        </w:rPr>
      </w:pPr>
      <w:r w:rsidRPr="004574B9">
        <w:rPr>
          <w:sz w:val="26"/>
          <w:szCs w:val="26"/>
        </w:rPr>
        <w:t>By 1902, t</w:t>
      </w:r>
      <w:r w:rsidR="00A26E3A" w:rsidRPr="004574B9">
        <w:rPr>
          <w:sz w:val="26"/>
          <w:szCs w:val="26"/>
        </w:rPr>
        <w:t>he Education Department</w:t>
      </w:r>
      <w:r w:rsidRPr="004574B9">
        <w:rPr>
          <w:sz w:val="26"/>
          <w:szCs w:val="26"/>
        </w:rPr>
        <w:t xml:space="preserve"> was pressing for </w:t>
      </w:r>
      <w:r w:rsidR="00E35C7A" w:rsidRPr="004574B9">
        <w:rPr>
          <w:sz w:val="26"/>
          <w:szCs w:val="26"/>
        </w:rPr>
        <w:t>£200 worth of improvements</w:t>
      </w:r>
      <w:r w:rsidR="00441043" w:rsidRPr="004574B9">
        <w:rPr>
          <w:rStyle w:val="FootnoteReference"/>
          <w:sz w:val="26"/>
          <w:szCs w:val="26"/>
        </w:rPr>
        <w:footnoteReference w:id="1"/>
      </w:r>
      <w:r w:rsidRPr="004574B9">
        <w:rPr>
          <w:sz w:val="26"/>
          <w:szCs w:val="26"/>
        </w:rPr>
        <w:t xml:space="preserve">, </w:t>
      </w:r>
      <w:r w:rsidR="00E35C7A" w:rsidRPr="004574B9">
        <w:rPr>
          <w:sz w:val="26"/>
          <w:szCs w:val="26"/>
        </w:rPr>
        <w:t>which were</w:t>
      </w:r>
      <w:r w:rsidRPr="004574B9">
        <w:rPr>
          <w:sz w:val="26"/>
          <w:szCs w:val="26"/>
        </w:rPr>
        <w:t xml:space="preserve"> put in hand in 1902-3</w:t>
      </w:r>
      <w:r w:rsidR="00441043" w:rsidRPr="004574B9">
        <w:rPr>
          <w:sz w:val="26"/>
          <w:szCs w:val="26"/>
        </w:rPr>
        <w:t xml:space="preserve">. </w:t>
      </w:r>
      <w:r w:rsidR="00887990" w:rsidRPr="004574B9">
        <w:rPr>
          <w:sz w:val="26"/>
          <w:szCs w:val="26"/>
        </w:rPr>
        <w:t xml:space="preserve">The </w:t>
      </w:r>
      <w:r w:rsidR="00055073" w:rsidRPr="004574B9">
        <w:rPr>
          <w:sz w:val="26"/>
          <w:szCs w:val="26"/>
        </w:rPr>
        <w:t>“Lichfield Mercury”</w:t>
      </w:r>
      <w:r w:rsidR="00887990" w:rsidRPr="004574B9">
        <w:rPr>
          <w:sz w:val="26"/>
          <w:szCs w:val="26"/>
        </w:rPr>
        <w:t xml:space="preserve"> of </w:t>
      </w:r>
      <w:r w:rsidR="00055073" w:rsidRPr="004574B9">
        <w:rPr>
          <w:sz w:val="26"/>
          <w:szCs w:val="26"/>
        </w:rPr>
        <w:t>30/1/1903</w:t>
      </w:r>
      <w:r w:rsidR="00887990" w:rsidRPr="004574B9">
        <w:rPr>
          <w:sz w:val="26"/>
          <w:szCs w:val="26"/>
        </w:rPr>
        <w:t xml:space="preserve"> noted that</w:t>
      </w:r>
      <w:r w:rsidR="00E35C7A" w:rsidRPr="004574B9">
        <w:rPr>
          <w:sz w:val="26"/>
          <w:szCs w:val="26"/>
        </w:rPr>
        <w:t>:</w:t>
      </w:r>
    </w:p>
    <w:p w14:paraId="0E0CC08B" w14:textId="72002DD1" w:rsidR="00887990" w:rsidRPr="004574B9" w:rsidRDefault="00887990" w:rsidP="00E35C7A">
      <w:pPr>
        <w:ind w:left="720"/>
        <w:rPr>
          <w:sz w:val="26"/>
          <w:szCs w:val="26"/>
        </w:rPr>
      </w:pPr>
      <w:r w:rsidRPr="004574B9">
        <w:rPr>
          <w:sz w:val="26"/>
          <w:szCs w:val="26"/>
        </w:rPr>
        <w:t xml:space="preserve">“The much needed improvement in the school accommodation at Hill </w:t>
      </w:r>
      <w:proofErr w:type="spellStart"/>
      <w:r w:rsidRPr="004574B9">
        <w:rPr>
          <w:sz w:val="26"/>
          <w:szCs w:val="26"/>
        </w:rPr>
        <w:t>Ridwar</w:t>
      </w:r>
      <w:r w:rsidR="00A26E3A" w:rsidRPr="004574B9">
        <w:rPr>
          <w:sz w:val="26"/>
          <w:szCs w:val="26"/>
        </w:rPr>
        <w:t>e</w:t>
      </w:r>
      <w:proofErr w:type="spellEnd"/>
      <w:r w:rsidRPr="004574B9">
        <w:rPr>
          <w:sz w:val="26"/>
          <w:szCs w:val="26"/>
        </w:rPr>
        <w:t xml:space="preserve"> </w:t>
      </w:r>
      <w:r w:rsidR="00E37738" w:rsidRPr="004574B9">
        <w:rPr>
          <w:sz w:val="26"/>
          <w:szCs w:val="26"/>
        </w:rPr>
        <w:t>has now been completed. The school has be</w:t>
      </w:r>
      <w:r w:rsidR="00675F33" w:rsidRPr="004574B9">
        <w:rPr>
          <w:sz w:val="26"/>
          <w:szCs w:val="26"/>
        </w:rPr>
        <w:t>e</w:t>
      </w:r>
      <w:r w:rsidR="00E37738" w:rsidRPr="004574B9">
        <w:rPr>
          <w:sz w:val="26"/>
          <w:szCs w:val="26"/>
        </w:rPr>
        <w:t>n considerably enlarged and otherwise renovated</w:t>
      </w:r>
      <w:r w:rsidR="00DC14C1" w:rsidRPr="004574B9">
        <w:rPr>
          <w:sz w:val="26"/>
          <w:szCs w:val="26"/>
        </w:rPr>
        <w:t xml:space="preserve">. </w:t>
      </w:r>
      <w:proofErr w:type="gramStart"/>
      <w:r w:rsidR="00DC14C1" w:rsidRPr="004574B9">
        <w:rPr>
          <w:sz w:val="26"/>
          <w:szCs w:val="26"/>
        </w:rPr>
        <w:t>For the purpose of</w:t>
      </w:r>
      <w:proofErr w:type="gramEnd"/>
      <w:r w:rsidR="00DC14C1" w:rsidRPr="004574B9">
        <w:rPr>
          <w:sz w:val="26"/>
          <w:szCs w:val="26"/>
        </w:rPr>
        <w:t xml:space="preserve"> raising funds towards the liquidation of the debt incurred, a tea and dance were held on December 26</w:t>
      </w:r>
      <w:r w:rsidR="00DC14C1" w:rsidRPr="004574B9">
        <w:rPr>
          <w:sz w:val="26"/>
          <w:szCs w:val="26"/>
          <w:vertAlign w:val="superscript"/>
        </w:rPr>
        <w:t>th</w:t>
      </w:r>
      <w:r w:rsidR="00DC14C1" w:rsidRPr="004574B9">
        <w:rPr>
          <w:sz w:val="26"/>
          <w:szCs w:val="26"/>
        </w:rPr>
        <w:t xml:space="preserve">. The secretary has just submitted a </w:t>
      </w:r>
      <w:r w:rsidR="000A1BAC" w:rsidRPr="004574B9">
        <w:rPr>
          <w:sz w:val="26"/>
          <w:szCs w:val="26"/>
        </w:rPr>
        <w:t>statement of accounts, which shows a balance in hand of £3 11s 2. The amount has been placed to the fund for the enlargement of the school.”</w:t>
      </w:r>
    </w:p>
    <w:p w14:paraId="64E80191" w14:textId="283D85F5" w:rsidR="00E35C7A" w:rsidRPr="004574B9" w:rsidRDefault="00415DE2" w:rsidP="00E35C7A">
      <w:pPr>
        <w:rPr>
          <w:sz w:val="26"/>
          <w:szCs w:val="26"/>
        </w:rPr>
      </w:pPr>
      <w:r w:rsidRPr="004574B9">
        <w:rPr>
          <w:sz w:val="26"/>
          <w:szCs w:val="26"/>
        </w:rPr>
        <w:t>This seems to have been the last expansion of the school before it closed</w:t>
      </w:r>
      <w:r w:rsidR="00675F33" w:rsidRPr="004574B9">
        <w:rPr>
          <w:sz w:val="26"/>
          <w:szCs w:val="26"/>
        </w:rPr>
        <w:t>, and presumably involved the east end of the present building</w:t>
      </w:r>
      <w:r w:rsidRPr="004574B9">
        <w:rPr>
          <w:sz w:val="26"/>
          <w:szCs w:val="26"/>
        </w:rPr>
        <w:t>.</w:t>
      </w:r>
    </w:p>
    <w:p w14:paraId="59B5C94F" w14:textId="77777777" w:rsidR="00D22652" w:rsidRPr="004574B9" w:rsidRDefault="00B87B04" w:rsidP="00B62071">
      <w:pPr>
        <w:rPr>
          <w:sz w:val="26"/>
          <w:szCs w:val="26"/>
        </w:rPr>
      </w:pPr>
      <w:r w:rsidRPr="004574B9">
        <w:rPr>
          <w:sz w:val="26"/>
          <w:szCs w:val="26"/>
        </w:rPr>
        <w:t xml:space="preserve">Unsurprisingly, </w:t>
      </w:r>
      <w:r w:rsidR="005D2453" w:rsidRPr="004574B9">
        <w:rPr>
          <w:sz w:val="26"/>
          <w:szCs w:val="26"/>
        </w:rPr>
        <w:t>the school still got an unfavourable report in December 1907 from His Majesty’s Inspector who</w:t>
      </w:r>
      <w:r w:rsidR="00FA4154" w:rsidRPr="004574B9">
        <w:rPr>
          <w:sz w:val="26"/>
          <w:szCs w:val="26"/>
        </w:rPr>
        <w:t xml:space="preserve"> noted that</w:t>
      </w:r>
      <w:r w:rsidR="00D22652" w:rsidRPr="004574B9">
        <w:rPr>
          <w:sz w:val="26"/>
          <w:szCs w:val="26"/>
        </w:rPr>
        <w:t>:</w:t>
      </w:r>
    </w:p>
    <w:p w14:paraId="119706B4" w14:textId="2DF8BC5C" w:rsidR="002E4E35" w:rsidRPr="004574B9" w:rsidRDefault="00FA4154" w:rsidP="00D22652">
      <w:pPr>
        <w:ind w:left="720"/>
        <w:rPr>
          <w:sz w:val="26"/>
          <w:szCs w:val="26"/>
        </w:rPr>
      </w:pPr>
      <w:r w:rsidRPr="004574B9">
        <w:rPr>
          <w:sz w:val="26"/>
          <w:szCs w:val="26"/>
        </w:rPr>
        <w:t xml:space="preserve">“The main room is very narrow, badly </w:t>
      </w:r>
      <w:proofErr w:type="gramStart"/>
      <w:r w:rsidRPr="004574B9">
        <w:rPr>
          <w:sz w:val="26"/>
          <w:szCs w:val="26"/>
        </w:rPr>
        <w:t>lighted</w:t>
      </w:r>
      <w:proofErr w:type="gramEnd"/>
      <w:r w:rsidRPr="004574B9">
        <w:rPr>
          <w:sz w:val="26"/>
          <w:szCs w:val="26"/>
        </w:rPr>
        <w:t xml:space="preserve"> and ill ventilated and is wedged in between the Teacher’s House on one side and some farm buildings</w:t>
      </w:r>
      <w:r w:rsidR="008E304D" w:rsidRPr="004574B9">
        <w:rPr>
          <w:sz w:val="26"/>
          <w:szCs w:val="26"/>
        </w:rPr>
        <w:t xml:space="preserve"> on the other. I understand that at times there is a most offensive </w:t>
      </w:r>
      <w:r w:rsidR="00693898" w:rsidRPr="004574B9">
        <w:rPr>
          <w:sz w:val="26"/>
          <w:szCs w:val="26"/>
        </w:rPr>
        <w:t>smell from some neighbouring premises.”</w:t>
      </w:r>
      <w:r w:rsidR="00693898" w:rsidRPr="004574B9">
        <w:rPr>
          <w:rStyle w:val="FootnoteReference"/>
          <w:sz w:val="26"/>
          <w:szCs w:val="26"/>
        </w:rPr>
        <w:footnoteReference w:id="2"/>
      </w:r>
      <w:r w:rsidRPr="004574B9">
        <w:rPr>
          <w:sz w:val="26"/>
          <w:szCs w:val="26"/>
        </w:rPr>
        <w:t xml:space="preserve"> </w:t>
      </w:r>
      <w:r w:rsidR="005D2453" w:rsidRPr="004574B9">
        <w:rPr>
          <w:sz w:val="26"/>
          <w:szCs w:val="26"/>
        </w:rPr>
        <w:t xml:space="preserve"> </w:t>
      </w:r>
    </w:p>
    <w:p w14:paraId="24D96B8E" w14:textId="2F0E75CA" w:rsidR="002E4E35" w:rsidRPr="004574B9" w:rsidRDefault="00681DF9" w:rsidP="00B62071">
      <w:pPr>
        <w:rPr>
          <w:sz w:val="26"/>
          <w:szCs w:val="26"/>
        </w:rPr>
      </w:pPr>
      <w:r w:rsidRPr="004574B9">
        <w:rPr>
          <w:sz w:val="26"/>
          <w:szCs w:val="26"/>
        </w:rPr>
        <w:t>The school was eventually superseded and was sold off in 1986.</w:t>
      </w:r>
      <w:r w:rsidR="00D22652" w:rsidRPr="004574B9">
        <w:rPr>
          <w:sz w:val="26"/>
          <w:szCs w:val="26"/>
        </w:rPr>
        <w:t xml:space="preserve"> </w:t>
      </w:r>
      <w:r w:rsidR="00ED1B3D">
        <w:rPr>
          <w:sz w:val="26"/>
          <w:szCs w:val="26"/>
        </w:rPr>
        <w:t xml:space="preserve">A first floor has </w:t>
      </w:r>
      <w:r w:rsidR="00FD272B">
        <w:rPr>
          <w:sz w:val="26"/>
          <w:szCs w:val="26"/>
        </w:rPr>
        <w:t xml:space="preserve">since </w:t>
      </w:r>
      <w:r w:rsidR="00ED1B3D">
        <w:rPr>
          <w:sz w:val="26"/>
          <w:szCs w:val="26"/>
        </w:rPr>
        <w:t xml:space="preserve">been reinstated in the front part of the schoolroom, and the large window has been replaced with separate ground and first floor windows, which it will originally have had. </w:t>
      </w:r>
      <w:r w:rsidR="00D22652" w:rsidRPr="004574B9">
        <w:rPr>
          <w:sz w:val="26"/>
          <w:szCs w:val="26"/>
        </w:rPr>
        <w:t>The farm buildings on the north side have been cleared away.</w:t>
      </w:r>
    </w:p>
    <w:p w14:paraId="78F3B25D" w14:textId="77777777" w:rsidR="00A76E4B" w:rsidRPr="004574B9" w:rsidRDefault="00A76E4B" w:rsidP="00B62071">
      <w:pPr>
        <w:rPr>
          <w:sz w:val="26"/>
          <w:szCs w:val="26"/>
        </w:rPr>
      </w:pPr>
      <w:r w:rsidRPr="004574B9">
        <w:rPr>
          <w:sz w:val="26"/>
          <w:szCs w:val="26"/>
        </w:rPr>
        <w:t>The significance of the building is:</w:t>
      </w:r>
    </w:p>
    <w:p w14:paraId="5E7BB74B" w14:textId="380E97E4" w:rsidR="00A76E4B" w:rsidRPr="004574B9" w:rsidRDefault="00A76E4B" w:rsidP="004E2FEE">
      <w:pPr>
        <w:pStyle w:val="ListParagraph"/>
        <w:numPr>
          <w:ilvl w:val="0"/>
          <w:numId w:val="1"/>
        </w:numPr>
        <w:rPr>
          <w:sz w:val="26"/>
          <w:szCs w:val="26"/>
        </w:rPr>
      </w:pPr>
      <w:r w:rsidRPr="004574B9">
        <w:rPr>
          <w:sz w:val="26"/>
          <w:szCs w:val="26"/>
        </w:rPr>
        <w:t>as a former farmhouse, evidencing the usual piecemeal development of farmhouses, and</w:t>
      </w:r>
    </w:p>
    <w:p w14:paraId="123D79F3" w14:textId="29210751" w:rsidR="00881542" w:rsidRPr="004574B9" w:rsidRDefault="004E2FEE" w:rsidP="004E2FEE">
      <w:pPr>
        <w:pStyle w:val="ListParagraph"/>
        <w:numPr>
          <w:ilvl w:val="0"/>
          <w:numId w:val="1"/>
        </w:numPr>
        <w:rPr>
          <w:sz w:val="26"/>
          <w:szCs w:val="26"/>
        </w:rPr>
      </w:pPr>
      <w:r w:rsidRPr="004574B9">
        <w:rPr>
          <w:sz w:val="26"/>
          <w:szCs w:val="26"/>
        </w:rPr>
        <w:t xml:space="preserve">as </w:t>
      </w:r>
      <w:r w:rsidR="00B05AE3" w:rsidRPr="004574B9">
        <w:rPr>
          <w:sz w:val="26"/>
          <w:szCs w:val="26"/>
        </w:rPr>
        <w:t xml:space="preserve">an example of </w:t>
      </w:r>
      <w:r w:rsidRPr="004574B9">
        <w:rPr>
          <w:sz w:val="26"/>
          <w:szCs w:val="26"/>
        </w:rPr>
        <w:t xml:space="preserve">how </w:t>
      </w:r>
      <w:r w:rsidR="00881542" w:rsidRPr="004574B9">
        <w:rPr>
          <w:sz w:val="26"/>
          <w:szCs w:val="26"/>
        </w:rPr>
        <w:t xml:space="preserve">educational facilities </w:t>
      </w:r>
      <w:r w:rsidRPr="004574B9">
        <w:rPr>
          <w:sz w:val="26"/>
          <w:szCs w:val="26"/>
        </w:rPr>
        <w:t>might be</w:t>
      </w:r>
      <w:r w:rsidR="00881542" w:rsidRPr="004574B9">
        <w:rPr>
          <w:sz w:val="26"/>
          <w:szCs w:val="26"/>
        </w:rPr>
        <w:t xml:space="preserve"> provided in an ad-hoc manner in small rural communities before formal standards were set.</w:t>
      </w:r>
    </w:p>
    <w:p w14:paraId="485B9F0C" w14:textId="5AAA06AD" w:rsidR="00881542" w:rsidRPr="004574B9" w:rsidRDefault="00D22652" w:rsidP="00B62071">
      <w:pPr>
        <w:rPr>
          <w:b/>
          <w:bCs/>
          <w:sz w:val="26"/>
          <w:szCs w:val="26"/>
        </w:rPr>
      </w:pPr>
      <w:r w:rsidRPr="004574B9">
        <w:rPr>
          <w:b/>
          <w:bCs/>
          <w:sz w:val="26"/>
          <w:szCs w:val="26"/>
        </w:rPr>
        <w:t>THE PROPOSAL AND ITS IMPACT</w:t>
      </w:r>
    </w:p>
    <w:p w14:paraId="6903DBD1" w14:textId="4A686022" w:rsidR="00D22652" w:rsidRPr="004574B9" w:rsidRDefault="00D22652" w:rsidP="00B62071">
      <w:pPr>
        <w:rPr>
          <w:sz w:val="26"/>
          <w:szCs w:val="26"/>
        </w:rPr>
      </w:pPr>
      <w:r w:rsidRPr="004574B9">
        <w:rPr>
          <w:sz w:val="26"/>
          <w:szCs w:val="26"/>
        </w:rPr>
        <w:t xml:space="preserve">The </w:t>
      </w:r>
      <w:proofErr w:type="gramStart"/>
      <w:r w:rsidRPr="004574B9">
        <w:rPr>
          <w:sz w:val="26"/>
          <w:szCs w:val="26"/>
        </w:rPr>
        <w:t>school house</w:t>
      </w:r>
      <w:proofErr w:type="gramEnd"/>
      <w:r w:rsidRPr="004574B9">
        <w:rPr>
          <w:sz w:val="26"/>
          <w:szCs w:val="26"/>
        </w:rPr>
        <w:t xml:space="preserve"> is built of nine-inch brickwork without so much as an internal coat of plaster</w:t>
      </w:r>
      <w:r w:rsidR="00FC20AE">
        <w:rPr>
          <w:sz w:val="26"/>
          <w:szCs w:val="26"/>
        </w:rPr>
        <w:t xml:space="preserve"> (see appended photographs)</w:t>
      </w:r>
      <w:r w:rsidR="006152BC" w:rsidRPr="004574B9">
        <w:rPr>
          <w:sz w:val="26"/>
          <w:szCs w:val="26"/>
        </w:rPr>
        <w:t xml:space="preserve">, and the building has no insulation except for loose-lay insulation above </w:t>
      </w:r>
      <w:r w:rsidR="00E332A4" w:rsidRPr="004574B9">
        <w:rPr>
          <w:sz w:val="26"/>
          <w:szCs w:val="26"/>
        </w:rPr>
        <w:t>the first floor ceilings in the section nearest the road.</w:t>
      </w:r>
      <w:r w:rsidR="004012D5" w:rsidRPr="004574B9">
        <w:rPr>
          <w:sz w:val="26"/>
          <w:szCs w:val="26"/>
        </w:rPr>
        <w:t xml:space="preserve"> </w:t>
      </w:r>
    </w:p>
    <w:p w14:paraId="4846E41F" w14:textId="6D83266A" w:rsidR="00687097" w:rsidRPr="004574B9" w:rsidRDefault="00687097" w:rsidP="00B62071">
      <w:pPr>
        <w:rPr>
          <w:sz w:val="26"/>
          <w:szCs w:val="26"/>
        </w:rPr>
      </w:pPr>
      <w:r w:rsidRPr="004574B9">
        <w:rPr>
          <w:sz w:val="26"/>
          <w:szCs w:val="26"/>
        </w:rPr>
        <w:lastRenderedPageBreak/>
        <w:t xml:space="preserve">The applicant has a series of potential ecological measures in </w:t>
      </w:r>
      <w:proofErr w:type="gramStart"/>
      <w:r w:rsidRPr="004574B9">
        <w:rPr>
          <w:sz w:val="26"/>
          <w:szCs w:val="26"/>
        </w:rPr>
        <w:t>mind, but</w:t>
      </w:r>
      <w:proofErr w:type="gramEnd"/>
      <w:r w:rsidRPr="004574B9">
        <w:rPr>
          <w:sz w:val="26"/>
          <w:szCs w:val="26"/>
        </w:rPr>
        <w:t xml:space="preserve"> wishes to make a start by insulating the internal surfaces of the exterior walls</w:t>
      </w:r>
      <w:r w:rsidR="001E7954" w:rsidRPr="004574B9">
        <w:rPr>
          <w:sz w:val="26"/>
          <w:szCs w:val="26"/>
        </w:rPr>
        <w:t>,</w:t>
      </w:r>
      <w:r w:rsidRPr="004574B9">
        <w:rPr>
          <w:sz w:val="26"/>
          <w:szCs w:val="26"/>
        </w:rPr>
        <w:t xml:space="preserve"> as noted on the plan and elevations. </w:t>
      </w:r>
      <w:r w:rsidR="00767408" w:rsidRPr="004574B9">
        <w:rPr>
          <w:sz w:val="26"/>
          <w:szCs w:val="26"/>
        </w:rPr>
        <w:t>Pre-application advice has already confirmed that “</w:t>
      </w:r>
      <w:r w:rsidR="00F07E2E" w:rsidRPr="004574B9">
        <w:rPr>
          <w:sz w:val="26"/>
          <w:szCs w:val="26"/>
        </w:rPr>
        <w:t>internal insulation of the old school room</w:t>
      </w:r>
      <w:r w:rsidR="001A5B42" w:rsidRPr="004574B9">
        <w:rPr>
          <w:sz w:val="26"/>
          <w:szCs w:val="26"/>
        </w:rPr>
        <w:t xml:space="preserve"> would not be an issue as long as it is sensitive to the listed building”</w:t>
      </w:r>
      <w:r w:rsidR="00B04E70" w:rsidRPr="004574B9">
        <w:rPr>
          <w:rStyle w:val="FootnoteReference"/>
          <w:sz w:val="26"/>
          <w:szCs w:val="26"/>
        </w:rPr>
        <w:footnoteReference w:id="3"/>
      </w:r>
      <w:r w:rsidR="00767408" w:rsidRPr="004574B9">
        <w:rPr>
          <w:sz w:val="26"/>
          <w:szCs w:val="26"/>
        </w:rPr>
        <w:t>, and there is obvious pu</w:t>
      </w:r>
      <w:r w:rsidR="008104B0" w:rsidRPr="004574B9">
        <w:rPr>
          <w:sz w:val="26"/>
          <w:szCs w:val="26"/>
        </w:rPr>
        <w:t>bli</w:t>
      </w:r>
      <w:r w:rsidR="00767408" w:rsidRPr="004574B9">
        <w:rPr>
          <w:sz w:val="26"/>
          <w:szCs w:val="26"/>
        </w:rPr>
        <w:t>c benefit in making the historic building stock</w:t>
      </w:r>
      <w:r w:rsidR="008104B0" w:rsidRPr="004574B9">
        <w:rPr>
          <w:sz w:val="26"/>
          <w:szCs w:val="26"/>
        </w:rPr>
        <w:t xml:space="preserve"> suitable for continued use into the future.</w:t>
      </w:r>
    </w:p>
    <w:p w14:paraId="7B41F2E6" w14:textId="40C53B13" w:rsidR="008104B0" w:rsidRPr="004574B9" w:rsidRDefault="00592F7D" w:rsidP="00B62071">
      <w:pPr>
        <w:rPr>
          <w:sz w:val="26"/>
          <w:szCs w:val="26"/>
        </w:rPr>
      </w:pPr>
      <w:r w:rsidRPr="004574B9">
        <w:rPr>
          <w:sz w:val="26"/>
          <w:szCs w:val="26"/>
        </w:rPr>
        <w:t xml:space="preserve">The proposed means of implementation </w:t>
      </w:r>
      <w:r w:rsidR="00463018" w:rsidRPr="004574B9">
        <w:rPr>
          <w:sz w:val="26"/>
          <w:szCs w:val="26"/>
        </w:rPr>
        <w:t xml:space="preserve">are theoretically reversible and </w:t>
      </w:r>
      <w:r w:rsidRPr="004574B9">
        <w:rPr>
          <w:sz w:val="26"/>
          <w:szCs w:val="26"/>
        </w:rPr>
        <w:t>comprise:</w:t>
      </w:r>
    </w:p>
    <w:p w14:paraId="00EA0A1C" w14:textId="53A7372F" w:rsidR="00DA7633" w:rsidRPr="004574B9" w:rsidRDefault="00DA7633" w:rsidP="003E3226">
      <w:pPr>
        <w:pStyle w:val="ListParagraph"/>
        <w:numPr>
          <w:ilvl w:val="0"/>
          <w:numId w:val="2"/>
        </w:numPr>
        <w:rPr>
          <w:sz w:val="26"/>
          <w:szCs w:val="26"/>
        </w:rPr>
      </w:pPr>
      <w:r w:rsidRPr="004574B9">
        <w:rPr>
          <w:sz w:val="26"/>
          <w:szCs w:val="26"/>
        </w:rPr>
        <w:t>Batten out walls</w:t>
      </w:r>
      <w:r w:rsidR="00463018" w:rsidRPr="004574B9">
        <w:rPr>
          <w:sz w:val="26"/>
          <w:szCs w:val="26"/>
        </w:rPr>
        <w:t xml:space="preserve"> with 2” x 1” battens</w:t>
      </w:r>
      <w:r w:rsidR="00A20F94" w:rsidRPr="004574B9">
        <w:rPr>
          <w:sz w:val="26"/>
          <w:szCs w:val="26"/>
        </w:rPr>
        <w:t xml:space="preserve"> ready to take plasterboards.</w:t>
      </w:r>
    </w:p>
    <w:p w14:paraId="1379BF67" w14:textId="2743D4F7" w:rsidR="00A20F94" w:rsidRPr="004574B9" w:rsidRDefault="00A20F94" w:rsidP="003E3226">
      <w:pPr>
        <w:pStyle w:val="ListParagraph"/>
        <w:numPr>
          <w:ilvl w:val="0"/>
          <w:numId w:val="2"/>
        </w:numPr>
        <w:rPr>
          <w:sz w:val="26"/>
          <w:szCs w:val="26"/>
        </w:rPr>
      </w:pPr>
      <w:r w:rsidRPr="004574B9">
        <w:rPr>
          <w:sz w:val="26"/>
          <w:szCs w:val="26"/>
        </w:rPr>
        <w:t>Fix breathable TYVEK style membrane to battens.</w:t>
      </w:r>
    </w:p>
    <w:p w14:paraId="73107B08" w14:textId="1F8B458E" w:rsidR="00A20F94" w:rsidRPr="004574B9" w:rsidRDefault="00A20F94" w:rsidP="003E3226">
      <w:pPr>
        <w:pStyle w:val="ListParagraph"/>
        <w:numPr>
          <w:ilvl w:val="0"/>
          <w:numId w:val="2"/>
        </w:numPr>
        <w:rPr>
          <w:sz w:val="26"/>
          <w:szCs w:val="26"/>
        </w:rPr>
      </w:pPr>
      <w:r w:rsidRPr="004574B9">
        <w:rPr>
          <w:sz w:val="26"/>
          <w:szCs w:val="26"/>
        </w:rPr>
        <w:t>Screw insulation-backed plasterboards to battens.</w:t>
      </w:r>
    </w:p>
    <w:p w14:paraId="12BFD5D1" w14:textId="22150D6B" w:rsidR="00A20F94" w:rsidRPr="004574B9" w:rsidRDefault="00DE7F2D" w:rsidP="003E3226">
      <w:pPr>
        <w:pStyle w:val="ListParagraph"/>
        <w:numPr>
          <w:ilvl w:val="0"/>
          <w:numId w:val="2"/>
        </w:numPr>
        <w:rPr>
          <w:sz w:val="26"/>
          <w:szCs w:val="26"/>
        </w:rPr>
      </w:pPr>
      <w:r w:rsidRPr="004574B9">
        <w:rPr>
          <w:sz w:val="26"/>
          <w:szCs w:val="26"/>
        </w:rPr>
        <w:t>Screw insulation-backed plasterboards to existing roof rafters.</w:t>
      </w:r>
    </w:p>
    <w:p w14:paraId="3D2D33FB" w14:textId="4F4C7B2D" w:rsidR="00DE7F2D" w:rsidRPr="004574B9" w:rsidRDefault="00DE7F2D" w:rsidP="003E3226">
      <w:pPr>
        <w:pStyle w:val="ListParagraph"/>
        <w:numPr>
          <w:ilvl w:val="0"/>
          <w:numId w:val="2"/>
        </w:numPr>
        <w:rPr>
          <w:sz w:val="26"/>
          <w:szCs w:val="26"/>
        </w:rPr>
      </w:pPr>
      <w:r w:rsidRPr="004574B9">
        <w:rPr>
          <w:sz w:val="26"/>
          <w:szCs w:val="26"/>
        </w:rPr>
        <w:t xml:space="preserve">Plaster skim all </w:t>
      </w:r>
      <w:proofErr w:type="spellStart"/>
      <w:r w:rsidR="003E3226" w:rsidRPr="004574B9">
        <w:rPr>
          <w:sz w:val="26"/>
          <w:szCs w:val="26"/>
        </w:rPr>
        <w:t>plasterboarded</w:t>
      </w:r>
      <w:proofErr w:type="spellEnd"/>
      <w:r w:rsidR="003E3226" w:rsidRPr="004574B9">
        <w:rPr>
          <w:sz w:val="26"/>
          <w:szCs w:val="26"/>
        </w:rPr>
        <w:t xml:space="preserve"> </w:t>
      </w:r>
      <w:r w:rsidRPr="004574B9">
        <w:rPr>
          <w:sz w:val="26"/>
          <w:szCs w:val="26"/>
        </w:rPr>
        <w:t>ceiling &amp; wall areas.</w:t>
      </w:r>
    </w:p>
    <w:p w14:paraId="1FFA1A78" w14:textId="2779D168" w:rsidR="00592F7D" w:rsidRPr="004574B9" w:rsidRDefault="009E316B" w:rsidP="00B62071">
      <w:pPr>
        <w:rPr>
          <w:sz w:val="26"/>
          <w:szCs w:val="26"/>
        </w:rPr>
      </w:pPr>
      <w:r w:rsidRPr="004574B9">
        <w:rPr>
          <w:sz w:val="26"/>
          <w:szCs w:val="26"/>
        </w:rPr>
        <w:t>Where there are roof voids, additional thicknesses of loose-lay insulating material will be installed, which do not require listed building consent.</w:t>
      </w:r>
    </w:p>
    <w:p w14:paraId="76131656" w14:textId="7C03F949" w:rsidR="005C11DE" w:rsidRDefault="00DC55B9" w:rsidP="00B62071">
      <w:pPr>
        <w:rPr>
          <w:sz w:val="26"/>
          <w:szCs w:val="26"/>
        </w:rPr>
      </w:pPr>
      <w:r w:rsidRPr="004574B9">
        <w:rPr>
          <w:sz w:val="26"/>
          <w:szCs w:val="26"/>
        </w:rPr>
        <w:t>Where relevant, window linings and window boards will b</w:t>
      </w:r>
      <w:r w:rsidR="009F08C4" w:rsidRPr="004574B9">
        <w:rPr>
          <w:sz w:val="26"/>
          <w:szCs w:val="26"/>
        </w:rPr>
        <w:t>e</w:t>
      </w:r>
      <w:r w:rsidRPr="004574B9">
        <w:rPr>
          <w:sz w:val="26"/>
          <w:szCs w:val="26"/>
        </w:rPr>
        <w:t xml:space="preserve"> extended forward to accommodate the extra wall thickness, and the existing patterns of architraves and skirtings will be reinstated on the new surfaces.</w:t>
      </w:r>
    </w:p>
    <w:p w14:paraId="174C5385" w14:textId="1FFA6342" w:rsidR="009571EF" w:rsidRDefault="009571EF" w:rsidP="00B62071">
      <w:pPr>
        <w:rPr>
          <w:sz w:val="26"/>
          <w:szCs w:val="26"/>
        </w:rPr>
      </w:pPr>
      <w:r>
        <w:rPr>
          <w:sz w:val="26"/>
          <w:szCs w:val="26"/>
        </w:rPr>
        <w:t xml:space="preserve">There are buildings of such sensitivity that </w:t>
      </w:r>
      <w:r w:rsidR="00B364C7">
        <w:rPr>
          <w:sz w:val="26"/>
          <w:szCs w:val="26"/>
        </w:rPr>
        <w:t xml:space="preserve">plastering bare brick surfaces could have an adverse impact on significance. </w:t>
      </w:r>
      <w:r w:rsidR="00312B77">
        <w:rPr>
          <w:sz w:val="26"/>
          <w:szCs w:val="26"/>
        </w:rPr>
        <w:t>However, in this case I concur with the conservation officer that the sensitivity of the building is not so high that the proposed interventions would be harmful</w:t>
      </w:r>
      <w:r w:rsidR="004D2E47">
        <w:rPr>
          <w:sz w:val="26"/>
          <w:szCs w:val="26"/>
        </w:rPr>
        <w:t>.</w:t>
      </w:r>
    </w:p>
    <w:p w14:paraId="63C652BA" w14:textId="159814FD" w:rsidR="00FC20AE" w:rsidRDefault="004574B9" w:rsidP="004574B9">
      <w:pPr>
        <w:jc w:val="right"/>
        <w:rPr>
          <w:sz w:val="26"/>
          <w:szCs w:val="26"/>
        </w:rPr>
      </w:pPr>
      <w:r w:rsidRPr="004574B9">
        <w:rPr>
          <w:sz w:val="26"/>
          <w:szCs w:val="26"/>
        </w:rPr>
        <w:t xml:space="preserve">Philip Heath BA IHBC, </w:t>
      </w:r>
      <w:proofErr w:type="gramStart"/>
      <w:r w:rsidRPr="004574B9">
        <w:rPr>
          <w:sz w:val="26"/>
          <w:szCs w:val="26"/>
        </w:rPr>
        <w:t>November,</w:t>
      </w:r>
      <w:proofErr w:type="gramEnd"/>
      <w:r w:rsidRPr="004574B9">
        <w:rPr>
          <w:sz w:val="26"/>
          <w:szCs w:val="26"/>
        </w:rPr>
        <w:t xml:space="preserve"> 2022.</w:t>
      </w:r>
    </w:p>
    <w:p w14:paraId="0669DE8B" w14:textId="77777777" w:rsidR="00FC20AE" w:rsidRDefault="00FC20AE">
      <w:pPr>
        <w:rPr>
          <w:sz w:val="26"/>
          <w:szCs w:val="26"/>
        </w:rPr>
      </w:pPr>
      <w:r>
        <w:rPr>
          <w:sz w:val="26"/>
          <w:szCs w:val="26"/>
        </w:rPr>
        <w:br w:type="page"/>
      </w:r>
    </w:p>
    <w:p w14:paraId="34755DB1" w14:textId="78A5677E" w:rsidR="004574B9" w:rsidRDefault="00FC20AE" w:rsidP="00FC20AE">
      <w:pPr>
        <w:rPr>
          <w:b/>
          <w:bCs/>
          <w:sz w:val="26"/>
          <w:szCs w:val="26"/>
        </w:rPr>
      </w:pPr>
      <w:r>
        <w:rPr>
          <w:b/>
          <w:bCs/>
          <w:sz w:val="26"/>
          <w:szCs w:val="26"/>
        </w:rPr>
        <w:lastRenderedPageBreak/>
        <w:t>PHOTOGRAPHS</w:t>
      </w:r>
    </w:p>
    <w:p w14:paraId="5D9DAC9A" w14:textId="5A1BD333" w:rsidR="00FC20AE" w:rsidRDefault="00F91161" w:rsidP="00361A9D">
      <w:pPr>
        <w:jc w:val="center"/>
        <w:rPr>
          <w:b/>
          <w:bCs/>
          <w:sz w:val="26"/>
          <w:szCs w:val="26"/>
        </w:rPr>
      </w:pPr>
      <w:r>
        <w:rPr>
          <w:b/>
          <w:bCs/>
          <w:noProof/>
          <w:sz w:val="26"/>
          <w:szCs w:val="26"/>
        </w:rPr>
        <w:drawing>
          <wp:inline distT="0" distB="0" distL="0" distR="0" wp14:anchorId="78823E9D" wp14:editId="3F9A3482">
            <wp:extent cx="5040000" cy="3780279"/>
            <wp:effectExtent l="0" t="0" r="8255" b="0"/>
            <wp:docPr id="2" name="Picture 2" descr="A picture containing indoor, wall, wooden,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 wall, wooden, chai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40000" cy="3780279"/>
                    </a:xfrm>
                    <a:prstGeom prst="rect">
                      <a:avLst/>
                    </a:prstGeom>
                  </pic:spPr>
                </pic:pic>
              </a:graphicData>
            </a:graphic>
          </wp:inline>
        </w:drawing>
      </w:r>
    </w:p>
    <w:p w14:paraId="55EBDDF8" w14:textId="32B9D847" w:rsidR="00361A9D" w:rsidRDefault="00361A9D" w:rsidP="00361A9D">
      <w:pPr>
        <w:jc w:val="center"/>
        <w:rPr>
          <w:b/>
          <w:bCs/>
          <w:sz w:val="26"/>
          <w:szCs w:val="26"/>
        </w:rPr>
      </w:pPr>
      <w:r>
        <w:rPr>
          <w:b/>
          <w:bCs/>
          <w:sz w:val="26"/>
          <w:szCs w:val="26"/>
        </w:rPr>
        <w:t>School room looking west. The kingpost trusses will remain exposed.</w:t>
      </w:r>
    </w:p>
    <w:p w14:paraId="2799E1F8" w14:textId="7824605E" w:rsidR="00DD744C" w:rsidRDefault="00DD744C" w:rsidP="00361A9D">
      <w:pPr>
        <w:jc w:val="center"/>
        <w:rPr>
          <w:b/>
          <w:bCs/>
          <w:sz w:val="26"/>
          <w:szCs w:val="26"/>
        </w:rPr>
      </w:pPr>
      <w:r>
        <w:rPr>
          <w:b/>
          <w:bCs/>
          <w:noProof/>
          <w:sz w:val="26"/>
          <w:szCs w:val="26"/>
        </w:rPr>
        <w:drawing>
          <wp:inline distT="0" distB="0" distL="0" distR="0" wp14:anchorId="2691EEC9" wp14:editId="2B232FC3">
            <wp:extent cx="5040000" cy="3780279"/>
            <wp:effectExtent l="0" t="0" r="8255" b="0"/>
            <wp:docPr id="3" name="Picture 3" descr="A picture containing indoor, wall, bed,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 wall, bed, roo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40000" cy="3780279"/>
                    </a:xfrm>
                    <a:prstGeom prst="rect">
                      <a:avLst/>
                    </a:prstGeom>
                  </pic:spPr>
                </pic:pic>
              </a:graphicData>
            </a:graphic>
          </wp:inline>
        </w:drawing>
      </w:r>
    </w:p>
    <w:p w14:paraId="0A93D105" w14:textId="6BC70FF3" w:rsidR="004574B9" w:rsidRPr="004574B9" w:rsidRDefault="00DD744C" w:rsidP="009571EF">
      <w:pPr>
        <w:jc w:val="center"/>
        <w:rPr>
          <w:sz w:val="26"/>
          <w:szCs w:val="26"/>
        </w:rPr>
      </w:pPr>
      <w:proofErr w:type="spellStart"/>
      <w:r>
        <w:rPr>
          <w:b/>
          <w:bCs/>
          <w:sz w:val="26"/>
          <w:szCs w:val="26"/>
        </w:rPr>
        <w:t>Unplastered</w:t>
      </w:r>
      <w:proofErr w:type="spellEnd"/>
      <w:r>
        <w:rPr>
          <w:b/>
          <w:bCs/>
          <w:sz w:val="26"/>
          <w:szCs w:val="26"/>
        </w:rPr>
        <w:t xml:space="preserve"> exterior wall in an upstairs bedroom.</w:t>
      </w:r>
    </w:p>
    <w:sectPr w:rsidR="004574B9" w:rsidRPr="004574B9" w:rsidSect="004D2E4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8A5F7" w14:textId="77777777" w:rsidR="002A6015" w:rsidRDefault="002A6015" w:rsidP="00441043">
      <w:pPr>
        <w:spacing w:after="0" w:line="240" w:lineRule="auto"/>
      </w:pPr>
      <w:r>
        <w:separator/>
      </w:r>
    </w:p>
  </w:endnote>
  <w:endnote w:type="continuationSeparator" w:id="0">
    <w:p w14:paraId="5C719A4C" w14:textId="77777777" w:rsidR="002A6015" w:rsidRDefault="002A6015" w:rsidP="00441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F1734" w14:textId="77777777" w:rsidR="004D2E47" w:rsidRDefault="004D2E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025623"/>
      <w:docPartObj>
        <w:docPartGallery w:val="Page Numbers (Bottom of Page)"/>
        <w:docPartUnique/>
      </w:docPartObj>
    </w:sdtPr>
    <w:sdtEndPr>
      <w:rPr>
        <w:noProof/>
      </w:rPr>
    </w:sdtEndPr>
    <w:sdtContent>
      <w:p w14:paraId="1EDD4455" w14:textId="034676B1" w:rsidR="004D2E47" w:rsidRDefault="004D2E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7E3856" w14:textId="77777777" w:rsidR="004D2E47" w:rsidRDefault="004D2E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32B35" w14:textId="77777777" w:rsidR="004D2E47" w:rsidRDefault="004D2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60949" w14:textId="77777777" w:rsidR="002A6015" w:rsidRDefault="002A6015" w:rsidP="00441043">
      <w:pPr>
        <w:spacing w:after="0" w:line="240" w:lineRule="auto"/>
      </w:pPr>
      <w:r>
        <w:separator/>
      </w:r>
    </w:p>
  </w:footnote>
  <w:footnote w:type="continuationSeparator" w:id="0">
    <w:p w14:paraId="5CCA8FA5" w14:textId="77777777" w:rsidR="002A6015" w:rsidRDefault="002A6015" w:rsidP="00441043">
      <w:pPr>
        <w:spacing w:after="0" w:line="240" w:lineRule="auto"/>
      </w:pPr>
      <w:r>
        <w:continuationSeparator/>
      </w:r>
    </w:p>
  </w:footnote>
  <w:footnote w:id="1">
    <w:p w14:paraId="483CF90F" w14:textId="0F54E88F" w:rsidR="00412806" w:rsidRDefault="00441043">
      <w:pPr>
        <w:pStyle w:val="FootnoteText"/>
      </w:pPr>
      <w:r>
        <w:rPr>
          <w:rStyle w:val="FootnoteReference"/>
        </w:rPr>
        <w:footnoteRef/>
      </w:r>
      <w:r>
        <w:t xml:space="preserve"> “Lichfield Mercury” 25/7/1902.</w:t>
      </w:r>
    </w:p>
  </w:footnote>
  <w:footnote w:id="2">
    <w:p w14:paraId="4BF2C064" w14:textId="194F86D9" w:rsidR="00693898" w:rsidRDefault="00693898">
      <w:pPr>
        <w:pStyle w:val="FootnoteText"/>
      </w:pPr>
      <w:r>
        <w:rPr>
          <w:rStyle w:val="FootnoteReference"/>
        </w:rPr>
        <w:footnoteRef/>
      </w:r>
      <w:r>
        <w:t xml:space="preserve"> As quoted in ridwarehistorysociety.com</w:t>
      </w:r>
    </w:p>
  </w:footnote>
  <w:footnote w:id="3">
    <w:p w14:paraId="5B65A312" w14:textId="1ECA9369" w:rsidR="00B04E70" w:rsidRDefault="00B04E70">
      <w:pPr>
        <w:pStyle w:val="FootnoteText"/>
      </w:pPr>
      <w:r>
        <w:rPr>
          <w:rStyle w:val="FootnoteReference"/>
        </w:rPr>
        <w:footnoteRef/>
      </w:r>
      <w:r>
        <w:t xml:space="preserve"> </w:t>
      </w:r>
      <w:r w:rsidR="00F61000">
        <w:t>Email Helen Livingston to applicant, 18/10/22.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C371E" w14:textId="77777777" w:rsidR="004D2E47" w:rsidRDefault="004D2E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F6BF" w14:textId="77777777" w:rsidR="004D2E47" w:rsidRDefault="004D2E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957FD" w14:textId="77777777" w:rsidR="004D2E47" w:rsidRDefault="004D2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C7EC1"/>
    <w:multiLevelType w:val="hybridMultilevel"/>
    <w:tmpl w:val="15CED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400767"/>
    <w:multiLevelType w:val="hybridMultilevel"/>
    <w:tmpl w:val="4948B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6347517">
    <w:abstractNumId w:val="1"/>
  </w:num>
  <w:num w:numId="2" w16cid:durableId="1181965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071"/>
    <w:rsid w:val="0002501F"/>
    <w:rsid w:val="00055073"/>
    <w:rsid w:val="000A1BAC"/>
    <w:rsid w:val="001A5B42"/>
    <w:rsid w:val="001E7954"/>
    <w:rsid w:val="002A6015"/>
    <w:rsid w:val="002E4E35"/>
    <w:rsid w:val="002F1606"/>
    <w:rsid w:val="002F79F1"/>
    <w:rsid w:val="00312B77"/>
    <w:rsid w:val="00361A9D"/>
    <w:rsid w:val="003E3226"/>
    <w:rsid w:val="004012D5"/>
    <w:rsid w:val="00412806"/>
    <w:rsid w:val="00415DE2"/>
    <w:rsid w:val="00441043"/>
    <w:rsid w:val="004574B9"/>
    <w:rsid w:val="00463018"/>
    <w:rsid w:val="0049361E"/>
    <w:rsid w:val="004D2E47"/>
    <w:rsid w:val="004D5AEE"/>
    <w:rsid w:val="004E2FEE"/>
    <w:rsid w:val="004F02FF"/>
    <w:rsid w:val="00592F7D"/>
    <w:rsid w:val="005C11DE"/>
    <w:rsid w:val="005D2453"/>
    <w:rsid w:val="006152BC"/>
    <w:rsid w:val="00675F33"/>
    <w:rsid w:val="00681DF9"/>
    <w:rsid w:val="00687097"/>
    <w:rsid w:val="00693898"/>
    <w:rsid w:val="006B2E5A"/>
    <w:rsid w:val="00704BD9"/>
    <w:rsid w:val="00767408"/>
    <w:rsid w:val="007E42E7"/>
    <w:rsid w:val="008104B0"/>
    <w:rsid w:val="00881542"/>
    <w:rsid w:val="00887990"/>
    <w:rsid w:val="008A6D74"/>
    <w:rsid w:val="008E304D"/>
    <w:rsid w:val="00915353"/>
    <w:rsid w:val="00917C7C"/>
    <w:rsid w:val="009571EF"/>
    <w:rsid w:val="009C5475"/>
    <w:rsid w:val="009E316B"/>
    <w:rsid w:val="009F08C4"/>
    <w:rsid w:val="00A20F94"/>
    <w:rsid w:val="00A26E3A"/>
    <w:rsid w:val="00A62FFB"/>
    <w:rsid w:val="00A76E4B"/>
    <w:rsid w:val="00A834A4"/>
    <w:rsid w:val="00B04E70"/>
    <w:rsid w:val="00B05AE3"/>
    <w:rsid w:val="00B33EC8"/>
    <w:rsid w:val="00B364C7"/>
    <w:rsid w:val="00B62071"/>
    <w:rsid w:val="00B87B04"/>
    <w:rsid w:val="00C44035"/>
    <w:rsid w:val="00C814DD"/>
    <w:rsid w:val="00CC0059"/>
    <w:rsid w:val="00D22652"/>
    <w:rsid w:val="00DA7633"/>
    <w:rsid w:val="00DC14C1"/>
    <w:rsid w:val="00DC55B9"/>
    <w:rsid w:val="00DD744C"/>
    <w:rsid w:val="00DE7F2D"/>
    <w:rsid w:val="00E332A4"/>
    <w:rsid w:val="00E35C7A"/>
    <w:rsid w:val="00E37738"/>
    <w:rsid w:val="00EA57DB"/>
    <w:rsid w:val="00ED1B3D"/>
    <w:rsid w:val="00F07E2E"/>
    <w:rsid w:val="00F61000"/>
    <w:rsid w:val="00F91161"/>
    <w:rsid w:val="00FA4154"/>
    <w:rsid w:val="00FC20AE"/>
    <w:rsid w:val="00FD2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20355"/>
  <w15:chartTrackingRefBased/>
  <w15:docId w15:val="{20D93B7D-331F-4F2D-BCC3-5E6B538D2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410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1043"/>
    <w:rPr>
      <w:sz w:val="20"/>
      <w:szCs w:val="20"/>
    </w:rPr>
  </w:style>
  <w:style w:type="character" w:styleId="FootnoteReference">
    <w:name w:val="footnote reference"/>
    <w:basedOn w:val="DefaultParagraphFont"/>
    <w:uiPriority w:val="99"/>
    <w:semiHidden/>
    <w:unhideWhenUsed/>
    <w:rsid w:val="00441043"/>
    <w:rPr>
      <w:vertAlign w:val="superscript"/>
    </w:rPr>
  </w:style>
  <w:style w:type="paragraph" w:styleId="ListParagraph">
    <w:name w:val="List Paragraph"/>
    <w:basedOn w:val="Normal"/>
    <w:uiPriority w:val="34"/>
    <w:qFormat/>
    <w:rsid w:val="004E2FEE"/>
    <w:pPr>
      <w:ind w:left="720"/>
      <w:contextualSpacing/>
    </w:pPr>
  </w:style>
  <w:style w:type="paragraph" w:styleId="Header">
    <w:name w:val="header"/>
    <w:basedOn w:val="Normal"/>
    <w:link w:val="HeaderChar"/>
    <w:uiPriority w:val="99"/>
    <w:unhideWhenUsed/>
    <w:rsid w:val="004D2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E47"/>
  </w:style>
  <w:style w:type="paragraph" w:styleId="Footer">
    <w:name w:val="footer"/>
    <w:basedOn w:val="Normal"/>
    <w:link w:val="FooterChar"/>
    <w:uiPriority w:val="99"/>
    <w:unhideWhenUsed/>
    <w:rsid w:val="004D2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D5188-31A3-4013-9D51-B088BF3F7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Heath</dc:creator>
  <cp:keywords/>
  <dc:description/>
  <cp:lastModifiedBy>Philip Heath</cp:lastModifiedBy>
  <cp:revision>2</cp:revision>
  <dcterms:created xsi:type="dcterms:W3CDTF">2022-11-25T20:55:00Z</dcterms:created>
  <dcterms:modified xsi:type="dcterms:W3CDTF">2022-11-25T20:55:00Z</dcterms:modified>
</cp:coreProperties>
</file>