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7FB" w14:textId="513B91CB" w:rsidR="008C12F9" w:rsidRDefault="007F5074" w:rsidP="007F5074">
      <w:pPr>
        <w:spacing w:line="360" w:lineRule="auto"/>
        <w:jc w:val="center"/>
        <w:rPr>
          <w:b/>
        </w:rPr>
      </w:pPr>
      <w:bookmarkStart w:id="0" w:name="_GoBack"/>
      <w:bookmarkEnd w:id="0"/>
      <w:r w:rsidRPr="007F5074">
        <w:rPr>
          <w:b/>
        </w:rPr>
        <w:t>Application for Listed Building consent for alterations to 5 Yate Cottages, Lumb Lane, Waterfoot BB4 9RW</w:t>
      </w:r>
    </w:p>
    <w:p w14:paraId="211F58AC" w14:textId="77777777" w:rsidR="003837B7" w:rsidRDefault="003837B7" w:rsidP="008C12F9">
      <w:pPr>
        <w:jc w:val="center"/>
        <w:rPr>
          <w:b/>
          <w:color w:val="FF0000"/>
        </w:rPr>
      </w:pPr>
    </w:p>
    <w:p w14:paraId="7F30D3F2" w14:textId="77777777" w:rsidR="003837B7" w:rsidRDefault="003837B7" w:rsidP="008C12F9">
      <w:pPr>
        <w:jc w:val="center"/>
        <w:rPr>
          <w:b/>
          <w:color w:val="FF0000"/>
        </w:rPr>
      </w:pPr>
    </w:p>
    <w:p w14:paraId="05CACC04" w14:textId="4A998930" w:rsidR="008C12F9" w:rsidRPr="00C277A5" w:rsidRDefault="008C12F9" w:rsidP="008C12F9">
      <w:pPr>
        <w:jc w:val="center"/>
        <w:rPr>
          <w:b/>
          <w:color w:val="FF0000"/>
        </w:rPr>
      </w:pPr>
      <w:r w:rsidRPr="00C277A5">
        <w:rPr>
          <w:b/>
          <w:color w:val="FF0000"/>
        </w:rPr>
        <w:t>Heritage assessment</w:t>
      </w:r>
    </w:p>
    <w:p w14:paraId="13692C8E" w14:textId="500177B0" w:rsidR="008C12F9" w:rsidRDefault="008C12F9" w:rsidP="008C12F9">
      <w:pPr>
        <w:jc w:val="center"/>
        <w:rPr>
          <w:b/>
        </w:rPr>
      </w:pPr>
    </w:p>
    <w:p w14:paraId="63598AA7" w14:textId="7D292233" w:rsidR="008C12F9" w:rsidRDefault="008C12F9" w:rsidP="008C12F9">
      <w:pPr>
        <w:jc w:val="center"/>
        <w:rPr>
          <w:b/>
        </w:rPr>
      </w:pPr>
    </w:p>
    <w:p w14:paraId="2E11F032" w14:textId="0830EC7F" w:rsidR="008C12F9" w:rsidRDefault="008C12F9" w:rsidP="008C12F9">
      <w:pPr>
        <w:jc w:val="center"/>
        <w:rPr>
          <w:b/>
        </w:rPr>
      </w:pPr>
    </w:p>
    <w:p w14:paraId="57ED69AD" w14:textId="49FBEBC3" w:rsidR="008C12F9" w:rsidRDefault="008C12F9" w:rsidP="008C12F9">
      <w:pPr>
        <w:jc w:val="center"/>
        <w:rPr>
          <w:b/>
        </w:rPr>
      </w:pPr>
    </w:p>
    <w:p w14:paraId="6090707A" w14:textId="2037F3F4" w:rsidR="008C12F9" w:rsidRDefault="008C12F9" w:rsidP="008C12F9">
      <w:pPr>
        <w:jc w:val="center"/>
        <w:rPr>
          <w:b/>
        </w:rPr>
      </w:pPr>
    </w:p>
    <w:p w14:paraId="1D96A63E" w14:textId="377460C1" w:rsidR="008C12F9" w:rsidRDefault="008C12F9" w:rsidP="008C12F9">
      <w:pPr>
        <w:jc w:val="center"/>
        <w:rPr>
          <w:b/>
        </w:rPr>
      </w:pPr>
    </w:p>
    <w:p w14:paraId="06B0A9DA" w14:textId="4270CC96" w:rsidR="008C12F9" w:rsidRDefault="008C12F9" w:rsidP="008C12F9">
      <w:pPr>
        <w:jc w:val="center"/>
        <w:rPr>
          <w:b/>
        </w:rPr>
      </w:pPr>
    </w:p>
    <w:p w14:paraId="7C657FC3" w14:textId="5CE363E8" w:rsidR="008C12F9" w:rsidRDefault="008C12F9" w:rsidP="008C12F9">
      <w:pPr>
        <w:jc w:val="center"/>
        <w:rPr>
          <w:b/>
        </w:rPr>
      </w:pPr>
    </w:p>
    <w:p w14:paraId="1A7CB617" w14:textId="3D625F08" w:rsidR="008C12F9" w:rsidRDefault="008C12F9" w:rsidP="008C12F9">
      <w:pPr>
        <w:jc w:val="center"/>
        <w:rPr>
          <w:b/>
        </w:rPr>
      </w:pPr>
    </w:p>
    <w:p w14:paraId="01E4851C" w14:textId="77777777" w:rsidR="008C12F9" w:rsidRDefault="008C12F9" w:rsidP="008C12F9">
      <w:pPr>
        <w:jc w:val="center"/>
        <w:rPr>
          <w:b/>
        </w:rPr>
      </w:pPr>
    </w:p>
    <w:p w14:paraId="6E313DC7" w14:textId="721BEFCE" w:rsidR="008C12F9" w:rsidRDefault="008C12F9" w:rsidP="008C12F9">
      <w:pPr>
        <w:jc w:val="center"/>
        <w:rPr>
          <w:b/>
        </w:rPr>
      </w:pPr>
    </w:p>
    <w:p w14:paraId="34CBA899" w14:textId="040FCBAE" w:rsidR="008C12F9" w:rsidRDefault="008C12F9" w:rsidP="008C12F9">
      <w:pPr>
        <w:jc w:val="center"/>
        <w:rPr>
          <w:b/>
        </w:rPr>
      </w:pPr>
    </w:p>
    <w:p w14:paraId="6D057A5F" w14:textId="06347624" w:rsidR="008C12F9" w:rsidRDefault="008C12F9" w:rsidP="008C12F9">
      <w:pPr>
        <w:jc w:val="center"/>
        <w:rPr>
          <w:b/>
        </w:rPr>
      </w:pPr>
    </w:p>
    <w:p w14:paraId="25A4FEA6" w14:textId="45C9E94A" w:rsidR="008C12F9" w:rsidRDefault="008C12F9" w:rsidP="008C12F9">
      <w:pPr>
        <w:jc w:val="center"/>
        <w:rPr>
          <w:b/>
        </w:rPr>
      </w:pPr>
    </w:p>
    <w:p w14:paraId="6E07A48E" w14:textId="27A83BA3" w:rsidR="008C12F9" w:rsidRDefault="008C12F9" w:rsidP="008C12F9">
      <w:pPr>
        <w:jc w:val="center"/>
        <w:rPr>
          <w:b/>
        </w:rPr>
      </w:pPr>
    </w:p>
    <w:p w14:paraId="7C049A67" w14:textId="57A4587A" w:rsidR="00C277A5" w:rsidRDefault="00C277A5" w:rsidP="008C12F9">
      <w:pPr>
        <w:jc w:val="center"/>
        <w:rPr>
          <w:b/>
        </w:rPr>
      </w:pPr>
    </w:p>
    <w:p w14:paraId="56E33249" w14:textId="650CFEEC" w:rsidR="00C277A5" w:rsidRDefault="00C277A5" w:rsidP="008C12F9">
      <w:pPr>
        <w:jc w:val="center"/>
        <w:rPr>
          <w:b/>
        </w:rPr>
      </w:pPr>
    </w:p>
    <w:p w14:paraId="3E9C8CDC" w14:textId="16D4A7B2" w:rsidR="00C277A5" w:rsidRDefault="00C277A5" w:rsidP="008C12F9">
      <w:pPr>
        <w:jc w:val="center"/>
        <w:rPr>
          <w:b/>
        </w:rPr>
      </w:pPr>
    </w:p>
    <w:p w14:paraId="77320DFC" w14:textId="564F70D6" w:rsidR="00C277A5" w:rsidRDefault="00C277A5" w:rsidP="008C12F9">
      <w:pPr>
        <w:jc w:val="center"/>
        <w:rPr>
          <w:b/>
        </w:rPr>
      </w:pPr>
    </w:p>
    <w:p w14:paraId="40A897FC" w14:textId="1EDB7B03" w:rsidR="00C277A5" w:rsidRDefault="00C277A5" w:rsidP="008C12F9">
      <w:pPr>
        <w:jc w:val="center"/>
        <w:rPr>
          <w:b/>
        </w:rPr>
      </w:pPr>
    </w:p>
    <w:p w14:paraId="650ADB1C" w14:textId="6C84A3C6" w:rsidR="00C277A5" w:rsidRDefault="00C277A5" w:rsidP="008C12F9">
      <w:pPr>
        <w:jc w:val="center"/>
        <w:rPr>
          <w:b/>
        </w:rPr>
      </w:pPr>
    </w:p>
    <w:p w14:paraId="378BE4A2" w14:textId="77777777" w:rsidR="00C277A5" w:rsidRDefault="00C277A5" w:rsidP="008C12F9">
      <w:pPr>
        <w:jc w:val="center"/>
        <w:rPr>
          <w:b/>
        </w:rPr>
      </w:pPr>
    </w:p>
    <w:p w14:paraId="6FCF967A" w14:textId="77777777" w:rsidR="008C12F9" w:rsidRDefault="008C12F9" w:rsidP="008C12F9">
      <w:pPr>
        <w:jc w:val="center"/>
        <w:rPr>
          <w:b/>
        </w:rPr>
      </w:pPr>
    </w:p>
    <w:p w14:paraId="44DF0B4B" w14:textId="77777777" w:rsidR="008C12F9" w:rsidRDefault="008C12F9" w:rsidP="008C12F9">
      <w:pPr>
        <w:rPr>
          <w:b/>
        </w:rPr>
      </w:pPr>
    </w:p>
    <w:p w14:paraId="3BC10F91" w14:textId="77777777" w:rsidR="008C12F9" w:rsidRDefault="008C12F9" w:rsidP="008C12F9">
      <w:pPr>
        <w:rPr>
          <w:b/>
        </w:rPr>
      </w:pPr>
    </w:p>
    <w:p w14:paraId="787F06EA" w14:textId="77777777" w:rsidR="008C12F9" w:rsidRDefault="008C12F9" w:rsidP="008C12F9">
      <w:pPr>
        <w:rPr>
          <w:b/>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09"/>
        <w:gridCol w:w="475"/>
      </w:tblGrid>
      <w:tr w:rsidR="008C12F9" w:rsidRPr="003B1C45" w14:paraId="35F6BF4C" w14:textId="77777777" w:rsidTr="00094E95">
        <w:trPr>
          <w:tblHeader/>
          <w:jc w:val="center"/>
        </w:trPr>
        <w:tc>
          <w:tcPr>
            <w:tcW w:w="409" w:type="dxa"/>
            <w:tcBorders>
              <w:top w:val="single" w:sz="1" w:space="0" w:color="000000"/>
              <w:left w:val="single" w:sz="1" w:space="0" w:color="000000"/>
              <w:bottom w:val="single" w:sz="1" w:space="0" w:color="000000"/>
            </w:tcBorders>
          </w:tcPr>
          <w:p w14:paraId="3C3925A9" w14:textId="77777777" w:rsidR="008C12F9" w:rsidRPr="003B1C45" w:rsidRDefault="008C12F9" w:rsidP="00094E95">
            <w:pPr>
              <w:suppressLineNumbers/>
              <w:shd w:val="clear" w:color="auto" w:fill="FF0000"/>
              <w:snapToGrid w:val="0"/>
              <w:jc w:val="right"/>
              <w:rPr>
                <w:rFonts w:ascii="Times New Roman" w:eastAsia="Lucida Sans Unicode" w:hAnsi="Times New Roman" w:cs="Tahoma"/>
                <w:b/>
                <w:bCs/>
              </w:rPr>
            </w:pPr>
            <w:r w:rsidRPr="003B1C45">
              <w:rPr>
                <w:rFonts w:ascii="Times New Roman" w:eastAsia="Lucida Sans Unicode" w:hAnsi="Times New Roman" w:cs="Tahoma"/>
                <w:b/>
                <w:bCs/>
              </w:rPr>
              <w:t>H</w:t>
            </w:r>
          </w:p>
        </w:tc>
        <w:tc>
          <w:tcPr>
            <w:tcW w:w="475" w:type="dxa"/>
            <w:tcBorders>
              <w:top w:val="single" w:sz="1" w:space="0" w:color="000000"/>
              <w:left w:val="single" w:sz="1" w:space="0" w:color="000000"/>
              <w:bottom w:val="single" w:sz="1" w:space="0" w:color="000000"/>
              <w:right w:val="single" w:sz="1" w:space="0" w:color="000000"/>
            </w:tcBorders>
          </w:tcPr>
          <w:p w14:paraId="77669889" w14:textId="77777777" w:rsidR="008C12F9" w:rsidRPr="003B1C45" w:rsidRDefault="008C12F9" w:rsidP="00094E95">
            <w:pPr>
              <w:suppressLineNumbers/>
              <w:shd w:val="clear" w:color="auto" w:fill="FFFF00"/>
              <w:snapToGrid w:val="0"/>
              <w:jc w:val="right"/>
              <w:rPr>
                <w:rFonts w:ascii="Times New Roman" w:eastAsia="Lucida Sans Unicode" w:hAnsi="Times New Roman" w:cs="Tahoma"/>
                <w:b/>
                <w:bCs/>
              </w:rPr>
            </w:pPr>
            <w:r w:rsidRPr="003B1C45">
              <w:rPr>
                <w:rFonts w:ascii="Times New Roman" w:eastAsia="Lucida Sans Unicode" w:hAnsi="Times New Roman" w:cs="Tahoma"/>
                <w:b/>
                <w:bCs/>
              </w:rPr>
              <w:t>P</w:t>
            </w:r>
          </w:p>
        </w:tc>
      </w:tr>
      <w:tr w:rsidR="008C12F9" w:rsidRPr="003B1C45" w14:paraId="4F12856B" w14:textId="77777777" w:rsidTr="00094E95">
        <w:trPr>
          <w:jc w:val="center"/>
        </w:trPr>
        <w:tc>
          <w:tcPr>
            <w:tcW w:w="409" w:type="dxa"/>
            <w:tcBorders>
              <w:left w:val="single" w:sz="1" w:space="0" w:color="000000"/>
              <w:bottom w:val="single" w:sz="1" w:space="0" w:color="000000"/>
            </w:tcBorders>
          </w:tcPr>
          <w:p w14:paraId="5615A671" w14:textId="77777777" w:rsidR="008C12F9" w:rsidRPr="003B1C45" w:rsidRDefault="008C12F9" w:rsidP="00094E95">
            <w:pPr>
              <w:suppressLineNumbers/>
              <w:shd w:val="clear" w:color="auto" w:fill="0000FF"/>
              <w:snapToGrid w:val="0"/>
              <w:jc w:val="right"/>
              <w:rPr>
                <w:rFonts w:ascii="Times New Roman" w:eastAsia="Lucida Sans Unicode" w:hAnsi="Times New Roman" w:cs="Tahoma"/>
                <w:b/>
                <w:bCs/>
              </w:rPr>
            </w:pPr>
            <w:r w:rsidRPr="003B1C45">
              <w:rPr>
                <w:rFonts w:ascii="Times New Roman" w:eastAsia="Lucida Sans Unicode" w:hAnsi="Times New Roman" w:cs="Tahoma"/>
                <w:b/>
                <w:bCs/>
              </w:rPr>
              <w:t>D</w:t>
            </w:r>
          </w:p>
        </w:tc>
        <w:tc>
          <w:tcPr>
            <w:tcW w:w="475" w:type="dxa"/>
            <w:tcBorders>
              <w:left w:val="single" w:sz="1" w:space="0" w:color="000000"/>
              <w:bottom w:val="single" w:sz="1" w:space="0" w:color="000000"/>
              <w:right w:val="single" w:sz="1" w:space="0" w:color="000000"/>
            </w:tcBorders>
          </w:tcPr>
          <w:p w14:paraId="179F231B" w14:textId="77777777" w:rsidR="008C12F9" w:rsidRPr="003B1C45" w:rsidRDefault="008C12F9" w:rsidP="00094E95">
            <w:pPr>
              <w:suppressLineNumbers/>
              <w:shd w:val="clear" w:color="auto" w:fill="00FF00"/>
              <w:snapToGrid w:val="0"/>
              <w:jc w:val="right"/>
              <w:rPr>
                <w:rFonts w:ascii="Times New Roman" w:eastAsia="Lucida Sans Unicode" w:hAnsi="Times New Roman" w:cs="Tahoma"/>
                <w:b/>
                <w:bCs/>
              </w:rPr>
            </w:pPr>
            <w:r w:rsidRPr="003B1C45">
              <w:rPr>
                <w:rFonts w:ascii="Times New Roman" w:eastAsia="Lucida Sans Unicode" w:hAnsi="Times New Roman" w:cs="Tahoma"/>
                <w:b/>
                <w:bCs/>
              </w:rPr>
              <w:t>A</w:t>
            </w:r>
          </w:p>
        </w:tc>
      </w:tr>
    </w:tbl>
    <w:p w14:paraId="14954612" w14:textId="77777777" w:rsidR="008C12F9" w:rsidRPr="003B1C45" w:rsidRDefault="008C12F9" w:rsidP="008C12F9">
      <w:pPr>
        <w:jc w:val="center"/>
        <w:rPr>
          <w:rFonts w:ascii="Tahoma" w:eastAsia="Lucida Sans Unicode" w:hAnsi="Tahoma" w:cs="Tahoma"/>
          <w:color w:val="000000"/>
        </w:rPr>
      </w:pPr>
    </w:p>
    <w:p w14:paraId="3DADDF1B" w14:textId="77777777" w:rsidR="008C12F9" w:rsidRPr="003B1C45" w:rsidRDefault="008C12F9" w:rsidP="008C12F9">
      <w:pPr>
        <w:jc w:val="center"/>
        <w:rPr>
          <w:rFonts w:ascii="Tahoma" w:eastAsia="Lucida Sans Unicode" w:hAnsi="Tahoma" w:cs="Tahoma"/>
          <w:color w:val="000000"/>
        </w:rPr>
      </w:pPr>
    </w:p>
    <w:p w14:paraId="5254DBFC" w14:textId="77777777" w:rsidR="008C12F9" w:rsidRPr="003B1C45" w:rsidRDefault="008C12F9" w:rsidP="008C12F9">
      <w:pPr>
        <w:jc w:val="center"/>
        <w:rPr>
          <w:rFonts w:ascii="Tahoma" w:eastAsia="Lucida Sans Unicode" w:hAnsi="Tahoma" w:cs="Tahoma"/>
          <w:color w:val="000000"/>
        </w:rPr>
      </w:pPr>
    </w:p>
    <w:p w14:paraId="154054CF" w14:textId="77777777" w:rsidR="007F5074" w:rsidRDefault="007F5074" w:rsidP="008C12F9">
      <w:pPr>
        <w:jc w:val="center"/>
        <w:rPr>
          <w:rFonts w:ascii="Tahoma" w:eastAsia="Lucida Sans Unicode" w:hAnsi="Tahoma" w:cs="Tahoma"/>
          <w:b/>
          <w:color w:val="000000"/>
        </w:rPr>
      </w:pPr>
    </w:p>
    <w:p w14:paraId="2F9FDDB0" w14:textId="1D2450E6" w:rsidR="008C12F9" w:rsidRDefault="00C249A8" w:rsidP="008C12F9">
      <w:pPr>
        <w:jc w:val="center"/>
        <w:rPr>
          <w:rFonts w:ascii="Tahoma" w:eastAsia="Lucida Sans Unicode" w:hAnsi="Tahoma" w:cs="Tahoma"/>
          <w:b/>
          <w:color w:val="000000"/>
        </w:rPr>
      </w:pPr>
      <w:r>
        <w:rPr>
          <w:rFonts w:ascii="Tahoma" w:eastAsia="Lucida Sans Unicode" w:hAnsi="Tahoma" w:cs="Tahoma"/>
          <w:b/>
          <w:color w:val="000000"/>
        </w:rPr>
        <w:t>September 2023</w:t>
      </w:r>
    </w:p>
    <w:p w14:paraId="4EF0EB84" w14:textId="77777777" w:rsidR="00B130C0" w:rsidRPr="003B1C45" w:rsidRDefault="00B130C0" w:rsidP="008C12F9">
      <w:pPr>
        <w:jc w:val="center"/>
        <w:rPr>
          <w:rFonts w:ascii="Tahoma" w:eastAsia="Lucida Sans Unicode" w:hAnsi="Tahoma" w:cs="Tahoma"/>
          <w:b/>
          <w:color w:val="000000"/>
        </w:rPr>
      </w:pPr>
    </w:p>
    <w:p w14:paraId="23088494" w14:textId="77777777" w:rsidR="008C12F9" w:rsidRPr="003B1C45" w:rsidRDefault="008C12F9" w:rsidP="008C12F9">
      <w:pPr>
        <w:jc w:val="center"/>
        <w:rPr>
          <w:rFonts w:ascii="Tahoma" w:eastAsia="Lucida Sans Unicode" w:hAnsi="Tahoma" w:cs="Tahoma"/>
          <w:b/>
          <w:color w:val="000000"/>
        </w:rPr>
      </w:pPr>
      <w:r w:rsidRPr="003B1C45">
        <w:rPr>
          <w:rFonts w:ascii="Tahoma" w:eastAsia="Lucida Sans Unicode" w:hAnsi="Tahoma" w:cs="Tahoma"/>
          <w:b/>
          <w:color w:val="000000"/>
        </w:rPr>
        <w:t>Prepared by Hartley Planning and Development Associates Ltd</w:t>
      </w:r>
    </w:p>
    <w:p w14:paraId="7C04BC27" w14:textId="77777777" w:rsidR="00922F48" w:rsidRPr="00B142B4" w:rsidRDefault="00922F48" w:rsidP="00922F48">
      <w:pPr>
        <w:tabs>
          <w:tab w:val="left" w:pos="0"/>
        </w:tabs>
        <w:jc w:val="center"/>
        <w:rPr>
          <w:rFonts w:cs="Arial"/>
          <w:b/>
          <w:color w:val="000000"/>
        </w:rPr>
      </w:pPr>
    </w:p>
    <w:p w14:paraId="2CC09879" w14:textId="77777777" w:rsidR="00922F48" w:rsidRDefault="00922F48" w:rsidP="0049395B">
      <w:pPr>
        <w:jc w:val="center"/>
        <w:rPr>
          <w:b/>
        </w:rPr>
      </w:pPr>
    </w:p>
    <w:p w14:paraId="3FF3DEA2" w14:textId="09CCB85D" w:rsidR="008C12F9" w:rsidRDefault="008C12F9">
      <w:pPr>
        <w:widowControl/>
        <w:suppressAutoHyphens w:val="0"/>
        <w:spacing w:after="200" w:line="276" w:lineRule="auto"/>
      </w:pPr>
      <w:r>
        <w:br w:type="page"/>
      </w:r>
    </w:p>
    <w:p w14:paraId="3FF3DEA7" w14:textId="3B0F0367" w:rsidR="0049395B" w:rsidRDefault="0049395B" w:rsidP="00EF2F0D">
      <w:pPr>
        <w:spacing w:line="360" w:lineRule="auto"/>
      </w:pPr>
      <w:r>
        <w:lastRenderedPageBreak/>
        <w:t xml:space="preserve">The National Planning </w:t>
      </w:r>
      <w:r w:rsidR="00151D88">
        <w:t>P</w:t>
      </w:r>
      <w:r>
        <w:t xml:space="preserve">olicy Framework </w:t>
      </w:r>
      <w:r w:rsidR="00BC54BA">
        <w:t>20</w:t>
      </w:r>
      <w:r w:rsidR="00B130C0">
        <w:t>23</w:t>
      </w:r>
      <w:r w:rsidR="00BC54BA">
        <w:t xml:space="preserve"> </w:t>
      </w:r>
      <w:r>
        <w:t xml:space="preserve">(the NPPF) advises that heritage assessments shall be proportionate in their comprehensiveness to the degree of proposed </w:t>
      </w:r>
      <w:r w:rsidR="00933FBA">
        <w:t>change: -</w:t>
      </w:r>
    </w:p>
    <w:p w14:paraId="5766F6D8" w14:textId="77777777" w:rsidR="00A070E1" w:rsidRDefault="00A070E1" w:rsidP="00A070E1">
      <w:pPr>
        <w:pStyle w:val="Default"/>
      </w:pPr>
    </w:p>
    <w:p w14:paraId="2418B2DC" w14:textId="2F7C8E18" w:rsidR="00A070E1" w:rsidRPr="003B1C11" w:rsidRDefault="003B1C11" w:rsidP="00A070E1">
      <w:pPr>
        <w:pStyle w:val="Default"/>
        <w:rPr>
          <w:i/>
          <w:iCs/>
          <w:color w:val="0070C0"/>
        </w:rPr>
      </w:pPr>
      <w:r>
        <w:rPr>
          <w:sz w:val="23"/>
          <w:szCs w:val="23"/>
        </w:rPr>
        <w:t>‘</w:t>
      </w:r>
      <w:r w:rsidR="00A070E1" w:rsidRPr="003B1C11">
        <w:rPr>
          <w:i/>
          <w:iCs/>
          <w:color w:val="0070C0"/>
        </w:rPr>
        <w:t>1</w:t>
      </w:r>
      <w:r w:rsidR="008E1683">
        <w:rPr>
          <w:i/>
          <w:iCs/>
          <w:color w:val="0070C0"/>
        </w:rPr>
        <w:t>94</w:t>
      </w:r>
      <w:r w:rsidR="00A070E1" w:rsidRPr="003B1C11">
        <w:rPr>
          <w:i/>
          <w:iCs/>
          <w:color w:val="0070C0"/>
        </w:rPr>
        <w:t xml:space="preserve">. 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historic environment record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 </w:t>
      </w:r>
    </w:p>
    <w:p w14:paraId="62925519" w14:textId="77777777" w:rsidR="00A070E1" w:rsidRPr="003B1C11" w:rsidRDefault="00A070E1" w:rsidP="00A070E1">
      <w:pPr>
        <w:pStyle w:val="Default"/>
        <w:rPr>
          <w:i/>
          <w:iCs/>
          <w:color w:val="0070C0"/>
        </w:rPr>
      </w:pPr>
    </w:p>
    <w:p w14:paraId="22D77C3F" w14:textId="648E6FF3" w:rsidR="00A070E1" w:rsidRPr="003B1C11" w:rsidRDefault="00A070E1" w:rsidP="00A070E1">
      <w:pPr>
        <w:pStyle w:val="Default"/>
        <w:rPr>
          <w:i/>
          <w:iCs/>
          <w:color w:val="0070C0"/>
        </w:rPr>
      </w:pPr>
      <w:r w:rsidRPr="003B1C11">
        <w:rPr>
          <w:i/>
          <w:iCs/>
          <w:color w:val="0070C0"/>
        </w:rPr>
        <w:t>19</w:t>
      </w:r>
      <w:r w:rsidR="005C611E">
        <w:rPr>
          <w:i/>
          <w:iCs/>
          <w:color w:val="0070C0"/>
        </w:rPr>
        <w:t>5</w:t>
      </w:r>
      <w:r w:rsidRPr="003B1C11">
        <w:rPr>
          <w:i/>
          <w:iCs/>
          <w:color w:val="0070C0"/>
        </w:rPr>
        <w:t xml:space="preserve">. Local planning authorities should identify and assess the particular significance of any heritage asset that may be affected by a proposal (including by development affecting the setting of a heritage asset) taking account of the available evidence and any necessary expertise. They should take this into account when considering the impact of a proposal on a heritage asset, to avoid or minimise any conflict between the heritage asset’s conservation and any aspect of the proposal. </w:t>
      </w:r>
    </w:p>
    <w:p w14:paraId="3FC64066" w14:textId="77777777" w:rsidR="00A070E1" w:rsidRPr="003B1C11" w:rsidRDefault="00A070E1" w:rsidP="00A070E1">
      <w:pPr>
        <w:pStyle w:val="Default"/>
        <w:rPr>
          <w:i/>
          <w:iCs/>
          <w:color w:val="0070C0"/>
        </w:rPr>
      </w:pPr>
    </w:p>
    <w:p w14:paraId="33A155C8" w14:textId="192DEC66" w:rsidR="00A070E1" w:rsidRPr="003B1C11" w:rsidRDefault="00A070E1" w:rsidP="00A070E1">
      <w:pPr>
        <w:pStyle w:val="Default"/>
        <w:rPr>
          <w:i/>
          <w:iCs/>
          <w:color w:val="0070C0"/>
        </w:rPr>
      </w:pPr>
      <w:r w:rsidRPr="003B1C11">
        <w:rPr>
          <w:i/>
          <w:iCs/>
          <w:color w:val="0070C0"/>
        </w:rPr>
        <w:t>19</w:t>
      </w:r>
      <w:r w:rsidR="0089716A">
        <w:rPr>
          <w:i/>
          <w:iCs/>
          <w:color w:val="0070C0"/>
        </w:rPr>
        <w:t>6</w:t>
      </w:r>
      <w:r w:rsidRPr="003B1C11">
        <w:rPr>
          <w:i/>
          <w:iCs/>
          <w:color w:val="0070C0"/>
        </w:rPr>
        <w:t xml:space="preserve">. Where there is evidence of deliberate neglect of, or damage to, a heritage asset, the deteriorated state of the heritage asset should not be taken into account in any decision. </w:t>
      </w:r>
    </w:p>
    <w:p w14:paraId="4F64B37F" w14:textId="77777777" w:rsidR="00A070E1" w:rsidRPr="003B1C11" w:rsidRDefault="00A070E1" w:rsidP="00A070E1">
      <w:pPr>
        <w:pStyle w:val="Default"/>
        <w:rPr>
          <w:i/>
          <w:iCs/>
          <w:color w:val="0070C0"/>
        </w:rPr>
      </w:pPr>
    </w:p>
    <w:p w14:paraId="6546E0CE" w14:textId="5CB322EE" w:rsidR="00A070E1" w:rsidRPr="003B1C11" w:rsidRDefault="00A070E1" w:rsidP="00A070E1">
      <w:pPr>
        <w:pStyle w:val="Default"/>
        <w:spacing w:after="160"/>
        <w:rPr>
          <w:i/>
          <w:iCs/>
          <w:color w:val="0070C0"/>
        </w:rPr>
      </w:pPr>
      <w:r w:rsidRPr="003B1C11">
        <w:rPr>
          <w:i/>
          <w:iCs/>
          <w:color w:val="0070C0"/>
        </w:rPr>
        <w:t>19</w:t>
      </w:r>
      <w:r w:rsidR="0089716A">
        <w:rPr>
          <w:i/>
          <w:iCs/>
          <w:color w:val="0070C0"/>
        </w:rPr>
        <w:t>7</w:t>
      </w:r>
      <w:r w:rsidRPr="003B1C11">
        <w:rPr>
          <w:i/>
          <w:iCs/>
          <w:color w:val="0070C0"/>
        </w:rPr>
        <w:t xml:space="preserve">. In determining applications, local planning authorities should take account of: </w:t>
      </w:r>
    </w:p>
    <w:p w14:paraId="6B2B3E96" w14:textId="77777777" w:rsidR="00A070E1" w:rsidRPr="003B1C11" w:rsidRDefault="00A070E1" w:rsidP="00A070E1">
      <w:pPr>
        <w:pStyle w:val="Default"/>
        <w:spacing w:after="160"/>
        <w:rPr>
          <w:i/>
          <w:iCs/>
          <w:color w:val="0070C0"/>
        </w:rPr>
      </w:pPr>
      <w:r w:rsidRPr="003B1C11">
        <w:rPr>
          <w:i/>
          <w:iCs/>
          <w:color w:val="0070C0"/>
        </w:rPr>
        <w:t xml:space="preserve">a) the desirability of sustaining and enhancing the significance of heritage assets and putting them to viable uses consistent with their conservation; </w:t>
      </w:r>
    </w:p>
    <w:p w14:paraId="750CF514" w14:textId="77777777" w:rsidR="00A070E1" w:rsidRPr="003B1C11" w:rsidRDefault="00A070E1" w:rsidP="00A070E1">
      <w:pPr>
        <w:pStyle w:val="Default"/>
        <w:spacing w:after="160"/>
        <w:rPr>
          <w:i/>
          <w:iCs/>
          <w:color w:val="0070C0"/>
        </w:rPr>
      </w:pPr>
      <w:r w:rsidRPr="003B1C11">
        <w:rPr>
          <w:i/>
          <w:iCs/>
          <w:color w:val="0070C0"/>
        </w:rPr>
        <w:t xml:space="preserve">b) the positive contribution that conservation of heritage assets can make to sustainable communities including their economic vitality; and </w:t>
      </w:r>
    </w:p>
    <w:p w14:paraId="0D22F263" w14:textId="77777777" w:rsidR="00A070E1" w:rsidRPr="003B1C11" w:rsidRDefault="00A070E1" w:rsidP="00A070E1">
      <w:pPr>
        <w:pStyle w:val="Default"/>
        <w:rPr>
          <w:i/>
          <w:iCs/>
          <w:color w:val="0070C0"/>
        </w:rPr>
      </w:pPr>
      <w:r w:rsidRPr="003B1C11">
        <w:rPr>
          <w:i/>
          <w:iCs/>
          <w:color w:val="0070C0"/>
        </w:rPr>
        <w:t xml:space="preserve">c) the desirability of new development making a positive contribution to local character and distinctiveness. </w:t>
      </w:r>
    </w:p>
    <w:p w14:paraId="3FF3DEA8" w14:textId="77777777" w:rsidR="00C1464E" w:rsidRPr="003B1C11" w:rsidRDefault="00C1464E" w:rsidP="0049395B">
      <w:pPr>
        <w:rPr>
          <w:i/>
          <w:iCs/>
          <w:color w:val="0070C0"/>
        </w:rPr>
      </w:pPr>
    </w:p>
    <w:p w14:paraId="3FF3DEA9" w14:textId="77777777" w:rsidR="00C1464E" w:rsidRDefault="00C1464E" w:rsidP="0049395B"/>
    <w:p w14:paraId="0A8D8A73" w14:textId="77777777" w:rsidR="008C12F9" w:rsidRPr="000B3935" w:rsidRDefault="008C12F9" w:rsidP="008C12F9">
      <w:pPr>
        <w:spacing w:line="360" w:lineRule="auto"/>
        <w:rPr>
          <w:b/>
          <w:bCs/>
        </w:rPr>
      </w:pPr>
      <w:r w:rsidRPr="000B3935">
        <w:rPr>
          <w:b/>
          <w:bCs/>
        </w:rPr>
        <w:t>The nature of the listing and the characteristic of their setting</w:t>
      </w:r>
    </w:p>
    <w:p w14:paraId="730514D9" w14:textId="77777777" w:rsidR="008C12F9" w:rsidRPr="000B3935" w:rsidRDefault="008C12F9" w:rsidP="008C12F9">
      <w:pPr>
        <w:spacing w:line="360" w:lineRule="auto"/>
      </w:pPr>
    </w:p>
    <w:p w14:paraId="24FDB614" w14:textId="02E37839" w:rsidR="008C12F9" w:rsidRPr="000B3935" w:rsidRDefault="004B52CD" w:rsidP="008C12F9">
      <w:pPr>
        <w:spacing w:line="360" w:lineRule="auto"/>
      </w:pPr>
      <w:r>
        <w:t>N</w:t>
      </w:r>
      <w:r w:rsidR="00F03572">
        <w:t>o.</w:t>
      </w:r>
      <w:r>
        <w:t xml:space="preserve"> 5 Yate Cottage, along with No. 3 Yate Cottage</w:t>
      </w:r>
      <w:r w:rsidR="00F16C0E">
        <w:t>,</w:t>
      </w:r>
      <w:r w:rsidR="00F03572">
        <w:t xml:space="preserve"> </w:t>
      </w:r>
      <w:r w:rsidR="008C12F9" w:rsidRPr="000B3935">
        <w:t>w</w:t>
      </w:r>
      <w:r w:rsidR="00F03572">
        <w:t>as</w:t>
      </w:r>
      <w:r w:rsidR="008C12F9" w:rsidRPr="000B3935">
        <w:t xml:space="preserve"> listed in November 1984 and the listing states as follows: -</w:t>
      </w:r>
    </w:p>
    <w:p w14:paraId="343EF0D0" w14:textId="77777777" w:rsidR="008C12F9" w:rsidRPr="000B3935" w:rsidRDefault="008C12F9" w:rsidP="008C12F9">
      <w:pPr>
        <w:spacing w:line="360" w:lineRule="auto"/>
      </w:pPr>
    </w:p>
    <w:p w14:paraId="6DA92357" w14:textId="77777777" w:rsidR="008C12F9" w:rsidRPr="000B3935" w:rsidRDefault="008C12F9" w:rsidP="008C12F9">
      <w:pPr>
        <w:spacing w:line="360" w:lineRule="auto"/>
        <w:rPr>
          <w:i/>
          <w:iCs/>
          <w:w w:val="92"/>
          <w:lang w:val="en-US"/>
        </w:rPr>
      </w:pPr>
      <w:r w:rsidRPr="000B3935">
        <w:rPr>
          <w:i/>
          <w:iCs/>
          <w:w w:val="92"/>
          <w:lang w:val="en-US"/>
        </w:rPr>
        <w:t xml:space="preserve">Pair of cottages in 2 builds, late Cl8. Watershot sandstone in diminishing courses, stone slate roof with one chimney on the ridge, one at junction with barn to left, and one at right </w:t>
      </w:r>
      <w:r w:rsidRPr="000B3935">
        <w:rPr>
          <w:i/>
          <w:iCs/>
          <w:w w:val="92"/>
          <w:lang w:val="en-US"/>
        </w:rPr>
        <w:lastRenderedPageBreak/>
        <w:t xml:space="preserve">gable. Single depth each cottage 2 bays. Two storeys; in the centre of each a doorway with plain surround (glazed porch to No.3 on left); No.3 has 2 stepped triple-light windows on each floor, No. 5 formerly had matching fenestration but </w:t>
      </w:r>
      <w:r w:rsidRPr="000B3935">
        <w:rPr>
          <w:i/>
          <w:iCs/>
          <w:w w:val="79"/>
          <w:lang w:val="en-US"/>
        </w:rPr>
        <w:t xml:space="preserve">1st </w:t>
      </w:r>
      <w:r w:rsidRPr="000B3935">
        <w:rPr>
          <w:i/>
          <w:iCs/>
          <w:w w:val="92"/>
          <w:lang w:val="en-US"/>
        </w:rPr>
        <w:t>floor windows are now altered. Rear wall has various windows of less interest, and no door. Abutting at left end is barn to No.l. Yates Cottages (q.v.) with which this item forms an interesting ensemble.</w:t>
      </w:r>
    </w:p>
    <w:p w14:paraId="0CBDC143" w14:textId="77777777" w:rsidR="008C12F9" w:rsidRPr="000B3935" w:rsidRDefault="008C12F9" w:rsidP="008C12F9">
      <w:pPr>
        <w:spacing w:line="360" w:lineRule="auto"/>
      </w:pPr>
    </w:p>
    <w:p w14:paraId="66ABD62B" w14:textId="77777777" w:rsidR="008C12F9" w:rsidRPr="000B3935" w:rsidRDefault="008C12F9" w:rsidP="008C12F9">
      <w:pPr>
        <w:spacing w:line="360" w:lineRule="auto"/>
      </w:pPr>
      <w:r w:rsidRPr="000B3935">
        <w:t>The listed properties form a terrace along with a barn which has been converted to the dwelling occupied by the applicant.</w:t>
      </w:r>
    </w:p>
    <w:p w14:paraId="5E61A464" w14:textId="77777777" w:rsidR="0002310A" w:rsidRDefault="0002310A" w:rsidP="008C12F9">
      <w:pPr>
        <w:spacing w:line="360" w:lineRule="auto"/>
      </w:pPr>
    </w:p>
    <w:p w14:paraId="69441D9D" w14:textId="7E7B61BE" w:rsidR="008C12F9" w:rsidRPr="000B3935" w:rsidRDefault="008C12F9" w:rsidP="008C12F9">
      <w:pPr>
        <w:spacing w:line="360" w:lineRule="auto"/>
      </w:pPr>
      <w:r w:rsidRPr="000B3935">
        <w:t>They are two storey stone-built dwellings with double pitch roofs. Internally they have been modernised and with an absence of original features. The listing stresses their external features.</w:t>
      </w:r>
    </w:p>
    <w:p w14:paraId="65544BE1" w14:textId="77777777" w:rsidR="00623FB3" w:rsidRDefault="00623FB3" w:rsidP="00C1464E">
      <w:pPr>
        <w:spacing w:line="360" w:lineRule="auto"/>
        <w:rPr>
          <w:rFonts w:cs="Arial"/>
          <w:b/>
          <w:bCs/>
        </w:rPr>
      </w:pPr>
    </w:p>
    <w:p w14:paraId="517857BC" w14:textId="03BF84BF" w:rsidR="00143D27" w:rsidRPr="000B3935" w:rsidRDefault="008C12F9" w:rsidP="00C1464E">
      <w:pPr>
        <w:spacing w:line="360" w:lineRule="auto"/>
        <w:rPr>
          <w:rFonts w:cs="Arial"/>
          <w:b/>
          <w:bCs/>
        </w:rPr>
      </w:pPr>
      <w:r w:rsidRPr="000B3935">
        <w:rPr>
          <w:rFonts w:cs="Arial"/>
          <w:b/>
          <w:bCs/>
        </w:rPr>
        <w:t xml:space="preserve">Proposed </w:t>
      </w:r>
      <w:r w:rsidR="00C277A5" w:rsidRPr="000B3935">
        <w:rPr>
          <w:rFonts w:cs="Arial"/>
          <w:b/>
          <w:bCs/>
        </w:rPr>
        <w:t>change</w:t>
      </w:r>
      <w:r w:rsidR="009B6837">
        <w:rPr>
          <w:rFonts w:cs="Arial"/>
          <w:b/>
          <w:bCs/>
        </w:rPr>
        <w:t xml:space="preserve"> to No 5 Yate Cottage</w:t>
      </w:r>
      <w:r w:rsidR="00C277A5" w:rsidRPr="000B3935">
        <w:rPr>
          <w:rFonts w:cs="Arial"/>
          <w:b/>
          <w:bCs/>
        </w:rPr>
        <w:t>.</w:t>
      </w:r>
    </w:p>
    <w:p w14:paraId="4ADF489D" w14:textId="28FD7337" w:rsidR="008C12F9" w:rsidRDefault="008C12F9" w:rsidP="008C12F9">
      <w:pPr>
        <w:spacing w:line="360" w:lineRule="auto"/>
      </w:pPr>
      <w:r w:rsidRPr="000B3935">
        <w:t>The proposed external change</w:t>
      </w:r>
      <w:r w:rsidR="009B6837">
        <w:t xml:space="preserve"> is </w:t>
      </w:r>
      <w:r w:rsidRPr="000B3935">
        <w:t>limited to</w:t>
      </w:r>
      <w:r w:rsidR="009315E3">
        <w:t xml:space="preserve"> the </w:t>
      </w:r>
      <w:r w:rsidR="00AC1E64">
        <w:t>replacement</w:t>
      </w:r>
      <w:r w:rsidR="009315E3">
        <w:t xml:space="preserve"> of a window on the rear elevation by a </w:t>
      </w:r>
      <w:r w:rsidR="00AC1E64">
        <w:t xml:space="preserve">glazed door. </w:t>
      </w:r>
    </w:p>
    <w:p w14:paraId="1854C010" w14:textId="77777777" w:rsidR="0074265F" w:rsidRDefault="0074265F" w:rsidP="008C12F9">
      <w:pPr>
        <w:spacing w:line="360" w:lineRule="auto"/>
      </w:pPr>
    </w:p>
    <w:p w14:paraId="365F3B53" w14:textId="5B09E28E" w:rsidR="008B46C0" w:rsidRDefault="000E2505" w:rsidP="0074265F">
      <w:pPr>
        <w:spacing w:line="360" w:lineRule="auto"/>
        <w:jc w:val="center"/>
      </w:pPr>
      <w:r>
        <w:rPr>
          <w:noProof/>
        </w:rPr>
        <w:drawing>
          <wp:inline distT="0" distB="0" distL="0" distR="0" wp14:anchorId="25454FE2" wp14:editId="422D143C">
            <wp:extent cx="5715000" cy="4017433"/>
            <wp:effectExtent l="0" t="0" r="0" b="2540"/>
            <wp:docPr id="797934759" name="Picture 1" descr="A brick building with a patio and a gri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34759" name="Picture 1" descr="A brick building with a patio and a grill&#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15000" cy="4017433"/>
                    </a:xfrm>
                    <a:prstGeom prst="rect">
                      <a:avLst/>
                    </a:prstGeom>
                  </pic:spPr>
                </pic:pic>
              </a:graphicData>
            </a:graphic>
          </wp:inline>
        </w:drawing>
      </w:r>
    </w:p>
    <w:p w14:paraId="3608D6EA" w14:textId="77777777" w:rsidR="008B46C0" w:rsidRPr="000B3935" w:rsidRDefault="008B46C0" w:rsidP="008C12F9">
      <w:pPr>
        <w:spacing w:line="360" w:lineRule="auto"/>
      </w:pPr>
    </w:p>
    <w:p w14:paraId="26EA970C" w14:textId="32196871" w:rsidR="008C12F9" w:rsidRPr="000B3935" w:rsidRDefault="008C12F9" w:rsidP="009B6837">
      <w:pPr>
        <w:spacing w:line="360" w:lineRule="auto"/>
        <w:ind w:left="708"/>
      </w:pPr>
      <w:r w:rsidRPr="000B3935">
        <w:lastRenderedPageBreak/>
        <w:t>.</w:t>
      </w:r>
    </w:p>
    <w:p w14:paraId="5AC7BA99" w14:textId="518D5EA3" w:rsidR="008C12F9" w:rsidRDefault="000B3935" w:rsidP="008C12F9">
      <w:pPr>
        <w:spacing w:line="360" w:lineRule="auto"/>
      </w:pPr>
      <w:r>
        <w:t xml:space="preserve">. The proposal is to replace the above window with a  </w:t>
      </w:r>
      <w:r w:rsidR="004108CE">
        <w:t>double</w:t>
      </w:r>
      <w:r w:rsidR="0096733E">
        <w:t>,</w:t>
      </w:r>
      <w:r w:rsidR="004108CE">
        <w:t xml:space="preserve"> </w:t>
      </w:r>
      <w:r>
        <w:t>glass door</w:t>
      </w:r>
      <w:r w:rsidR="0096733E">
        <w:t>.</w:t>
      </w:r>
      <w:r>
        <w:t xml:space="preserve">  The proposed door would be fit flush with the outside wall.</w:t>
      </w:r>
    </w:p>
    <w:p w14:paraId="6FF4F8F2" w14:textId="77777777" w:rsidR="00F03572" w:rsidRDefault="00F03572" w:rsidP="008C12F9">
      <w:pPr>
        <w:spacing w:line="360" w:lineRule="auto"/>
      </w:pPr>
    </w:p>
    <w:p w14:paraId="511A1827" w14:textId="1352F105" w:rsidR="00F03572" w:rsidRPr="00F03572" w:rsidRDefault="00F03572" w:rsidP="008C12F9">
      <w:pPr>
        <w:spacing w:line="360" w:lineRule="auto"/>
        <w:rPr>
          <w:b/>
          <w:bCs/>
        </w:rPr>
      </w:pPr>
      <w:r w:rsidRPr="00F03572">
        <w:rPr>
          <w:b/>
          <w:bCs/>
        </w:rPr>
        <w:t>Summary</w:t>
      </w:r>
    </w:p>
    <w:p w14:paraId="16699D7A" w14:textId="77777777" w:rsidR="00F03572" w:rsidRDefault="00F03572" w:rsidP="008C12F9">
      <w:pPr>
        <w:spacing w:line="360" w:lineRule="auto"/>
      </w:pPr>
    </w:p>
    <w:p w14:paraId="5F4D9364" w14:textId="174C9EB2" w:rsidR="00F03572" w:rsidRDefault="00F03572" w:rsidP="008C12F9">
      <w:pPr>
        <w:spacing w:line="360" w:lineRule="auto"/>
      </w:pPr>
      <w:r w:rsidRPr="00F03572">
        <w:t xml:space="preserve">The above change would reflect the approved rear door to No 3 Yate Cottage and would have </w:t>
      </w:r>
      <w:r w:rsidR="002E5DC5">
        <w:t xml:space="preserve">no material or significant </w:t>
      </w:r>
      <w:r w:rsidRPr="00F03572">
        <w:t>impact on the listed buildings</w:t>
      </w:r>
      <w:r w:rsidR="002E5DC5">
        <w:t xml:space="preserve"> or their settings.</w:t>
      </w:r>
    </w:p>
    <w:p w14:paraId="61E48437" w14:textId="77777777" w:rsidR="00F03572" w:rsidRDefault="00F03572" w:rsidP="008C12F9">
      <w:pPr>
        <w:spacing w:line="360" w:lineRule="auto"/>
      </w:pPr>
    </w:p>
    <w:sectPr w:rsidR="00F035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4173" w14:textId="77777777" w:rsidR="004C5838" w:rsidRDefault="004C5838" w:rsidP="004E7440">
      <w:r>
        <w:separator/>
      </w:r>
    </w:p>
  </w:endnote>
  <w:endnote w:type="continuationSeparator" w:id="0">
    <w:p w14:paraId="6D8FC29B" w14:textId="77777777" w:rsidR="004C5838" w:rsidRDefault="004C5838" w:rsidP="004E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106137"/>
      <w:docPartObj>
        <w:docPartGallery w:val="Page Numbers (Bottom of Page)"/>
        <w:docPartUnique/>
      </w:docPartObj>
    </w:sdtPr>
    <w:sdtEndPr>
      <w:rPr>
        <w:noProof/>
      </w:rPr>
    </w:sdtEndPr>
    <w:sdtContent>
      <w:p w14:paraId="3FF3DEDD" w14:textId="77777777" w:rsidR="004E7440" w:rsidRDefault="004E7440">
        <w:pPr>
          <w:pStyle w:val="Footer"/>
          <w:jc w:val="center"/>
        </w:pPr>
        <w:r>
          <w:fldChar w:fldCharType="begin"/>
        </w:r>
        <w:r>
          <w:instrText xml:space="preserve"> PAGE   \* MERGEFORMAT </w:instrText>
        </w:r>
        <w:r>
          <w:fldChar w:fldCharType="separate"/>
        </w:r>
        <w:r w:rsidR="00EF2F0D">
          <w:rPr>
            <w:noProof/>
          </w:rPr>
          <w:t>1</w:t>
        </w:r>
        <w:r>
          <w:rPr>
            <w:noProof/>
          </w:rPr>
          <w:fldChar w:fldCharType="end"/>
        </w:r>
      </w:p>
    </w:sdtContent>
  </w:sdt>
  <w:p w14:paraId="3FF3DEDE" w14:textId="77777777" w:rsidR="004E7440" w:rsidRDefault="004E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4A62" w14:textId="77777777" w:rsidR="004C5838" w:rsidRDefault="004C5838" w:rsidP="004E7440">
      <w:r>
        <w:separator/>
      </w:r>
    </w:p>
  </w:footnote>
  <w:footnote w:type="continuationSeparator" w:id="0">
    <w:p w14:paraId="1B5E2FB5" w14:textId="77777777" w:rsidR="004C5838" w:rsidRDefault="004C5838" w:rsidP="004E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34C"/>
    <w:multiLevelType w:val="hybridMultilevel"/>
    <w:tmpl w:val="5C7C7B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F03989"/>
    <w:multiLevelType w:val="hybridMultilevel"/>
    <w:tmpl w:val="ED78B788"/>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5B"/>
    <w:rsid w:val="000062A7"/>
    <w:rsid w:val="0002310A"/>
    <w:rsid w:val="000247EF"/>
    <w:rsid w:val="000656A6"/>
    <w:rsid w:val="000772E0"/>
    <w:rsid w:val="000B3935"/>
    <w:rsid w:val="000C0A0E"/>
    <w:rsid w:val="000C3AD7"/>
    <w:rsid w:val="000C5DCE"/>
    <w:rsid w:val="000D0BF8"/>
    <w:rsid w:val="000D0D33"/>
    <w:rsid w:val="000E2505"/>
    <w:rsid w:val="001017E0"/>
    <w:rsid w:val="00114CA5"/>
    <w:rsid w:val="00143D27"/>
    <w:rsid w:val="00151D88"/>
    <w:rsid w:val="00165792"/>
    <w:rsid w:val="0019320A"/>
    <w:rsid w:val="001A04CC"/>
    <w:rsid w:val="001A2724"/>
    <w:rsid w:val="001B5DAA"/>
    <w:rsid w:val="001D2311"/>
    <w:rsid w:val="001F7279"/>
    <w:rsid w:val="0020228B"/>
    <w:rsid w:val="002238EF"/>
    <w:rsid w:val="00236C39"/>
    <w:rsid w:val="002444CA"/>
    <w:rsid w:val="002872E8"/>
    <w:rsid w:val="002B55DE"/>
    <w:rsid w:val="002C070B"/>
    <w:rsid w:val="002C1932"/>
    <w:rsid w:val="002E4138"/>
    <w:rsid w:val="002E5DC5"/>
    <w:rsid w:val="003166A5"/>
    <w:rsid w:val="0032270F"/>
    <w:rsid w:val="00347BF5"/>
    <w:rsid w:val="00366747"/>
    <w:rsid w:val="0037590D"/>
    <w:rsid w:val="003769B9"/>
    <w:rsid w:val="00380D1F"/>
    <w:rsid w:val="003837B7"/>
    <w:rsid w:val="00396364"/>
    <w:rsid w:val="003B1C11"/>
    <w:rsid w:val="003D0FE6"/>
    <w:rsid w:val="003D134D"/>
    <w:rsid w:val="004108CE"/>
    <w:rsid w:val="00415ED2"/>
    <w:rsid w:val="00417ADA"/>
    <w:rsid w:val="00425FBC"/>
    <w:rsid w:val="00435BE1"/>
    <w:rsid w:val="004365EE"/>
    <w:rsid w:val="004419C6"/>
    <w:rsid w:val="00442293"/>
    <w:rsid w:val="0049395B"/>
    <w:rsid w:val="004B52CD"/>
    <w:rsid w:val="004C5838"/>
    <w:rsid w:val="004D610F"/>
    <w:rsid w:val="004E7440"/>
    <w:rsid w:val="004E7FF2"/>
    <w:rsid w:val="004F5178"/>
    <w:rsid w:val="005035A1"/>
    <w:rsid w:val="00512A3B"/>
    <w:rsid w:val="00516A19"/>
    <w:rsid w:val="005260B8"/>
    <w:rsid w:val="00541FB3"/>
    <w:rsid w:val="005670E7"/>
    <w:rsid w:val="00581E92"/>
    <w:rsid w:val="00595C71"/>
    <w:rsid w:val="005C611E"/>
    <w:rsid w:val="005F5168"/>
    <w:rsid w:val="00600F9E"/>
    <w:rsid w:val="00605D25"/>
    <w:rsid w:val="006114CD"/>
    <w:rsid w:val="00623FB3"/>
    <w:rsid w:val="006504A0"/>
    <w:rsid w:val="0068063F"/>
    <w:rsid w:val="006930ED"/>
    <w:rsid w:val="006B1425"/>
    <w:rsid w:val="006E1B4E"/>
    <w:rsid w:val="00721A6B"/>
    <w:rsid w:val="0074265F"/>
    <w:rsid w:val="007579B7"/>
    <w:rsid w:val="007626DF"/>
    <w:rsid w:val="00765304"/>
    <w:rsid w:val="007657A0"/>
    <w:rsid w:val="0079698B"/>
    <w:rsid w:val="007C12DC"/>
    <w:rsid w:val="007D7954"/>
    <w:rsid w:val="007E55D3"/>
    <w:rsid w:val="007F5074"/>
    <w:rsid w:val="00834646"/>
    <w:rsid w:val="00851074"/>
    <w:rsid w:val="00880816"/>
    <w:rsid w:val="00882E27"/>
    <w:rsid w:val="00894C22"/>
    <w:rsid w:val="0089716A"/>
    <w:rsid w:val="008B46C0"/>
    <w:rsid w:val="008B7B4D"/>
    <w:rsid w:val="008C12F9"/>
    <w:rsid w:val="008D677A"/>
    <w:rsid w:val="008E1683"/>
    <w:rsid w:val="008F12EF"/>
    <w:rsid w:val="00907A87"/>
    <w:rsid w:val="00922F48"/>
    <w:rsid w:val="009315E3"/>
    <w:rsid w:val="00933FBA"/>
    <w:rsid w:val="00951A56"/>
    <w:rsid w:val="0096733E"/>
    <w:rsid w:val="00971071"/>
    <w:rsid w:val="009B6837"/>
    <w:rsid w:val="009D5725"/>
    <w:rsid w:val="009F06A6"/>
    <w:rsid w:val="00A070E1"/>
    <w:rsid w:val="00A072C1"/>
    <w:rsid w:val="00A079A6"/>
    <w:rsid w:val="00A54CC0"/>
    <w:rsid w:val="00A751A7"/>
    <w:rsid w:val="00AC1E64"/>
    <w:rsid w:val="00B121A2"/>
    <w:rsid w:val="00B130C0"/>
    <w:rsid w:val="00B2642A"/>
    <w:rsid w:val="00B31A43"/>
    <w:rsid w:val="00B31A56"/>
    <w:rsid w:val="00B4333A"/>
    <w:rsid w:val="00B4760E"/>
    <w:rsid w:val="00B52E1B"/>
    <w:rsid w:val="00B7142C"/>
    <w:rsid w:val="00B92500"/>
    <w:rsid w:val="00B9518C"/>
    <w:rsid w:val="00BC54BA"/>
    <w:rsid w:val="00C1464E"/>
    <w:rsid w:val="00C249A8"/>
    <w:rsid w:val="00C277A5"/>
    <w:rsid w:val="00C37F7D"/>
    <w:rsid w:val="00C62F47"/>
    <w:rsid w:val="00C70EC6"/>
    <w:rsid w:val="00C855AC"/>
    <w:rsid w:val="00CC04D6"/>
    <w:rsid w:val="00CC1AC0"/>
    <w:rsid w:val="00CD7C6F"/>
    <w:rsid w:val="00CE36E2"/>
    <w:rsid w:val="00CE3A44"/>
    <w:rsid w:val="00D1616A"/>
    <w:rsid w:val="00D222F6"/>
    <w:rsid w:val="00D30929"/>
    <w:rsid w:val="00D43424"/>
    <w:rsid w:val="00D678C5"/>
    <w:rsid w:val="00DB0D37"/>
    <w:rsid w:val="00DB2E70"/>
    <w:rsid w:val="00DC1290"/>
    <w:rsid w:val="00DC2AA5"/>
    <w:rsid w:val="00DC729D"/>
    <w:rsid w:val="00DD32C3"/>
    <w:rsid w:val="00DE5F2E"/>
    <w:rsid w:val="00E15FC3"/>
    <w:rsid w:val="00E2338E"/>
    <w:rsid w:val="00E31113"/>
    <w:rsid w:val="00E70998"/>
    <w:rsid w:val="00E715EA"/>
    <w:rsid w:val="00EA6F03"/>
    <w:rsid w:val="00EB56F9"/>
    <w:rsid w:val="00EF074C"/>
    <w:rsid w:val="00EF2F0D"/>
    <w:rsid w:val="00F03572"/>
    <w:rsid w:val="00F16C0E"/>
    <w:rsid w:val="00F22921"/>
    <w:rsid w:val="00F46C93"/>
    <w:rsid w:val="00F91BA7"/>
    <w:rsid w:val="00FA29CD"/>
    <w:rsid w:val="00FA53F0"/>
    <w:rsid w:val="00FD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DE9F"/>
  <w15:docId w15:val="{0CFB9C5D-48CE-4387-B117-1709A8E5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95B"/>
    <w:pPr>
      <w:widowControl w:val="0"/>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440"/>
    <w:pPr>
      <w:tabs>
        <w:tab w:val="center" w:pos="4513"/>
        <w:tab w:val="right" w:pos="9026"/>
      </w:tabs>
    </w:pPr>
  </w:style>
  <w:style w:type="character" w:customStyle="1" w:styleId="HeaderChar">
    <w:name w:val="Header Char"/>
    <w:basedOn w:val="DefaultParagraphFont"/>
    <w:link w:val="Header"/>
    <w:uiPriority w:val="99"/>
    <w:rsid w:val="004E7440"/>
    <w:rPr>
      <w:sz w:val="22"/>
      <w:szCs w:val="20"/>
      <w:lang w:eastAsia="en-GB"/>
    </w:rPr>
  </w:style>
  <w:style w:type="paragraph" w:styleId="Footer">
    <w:name w:val="footer"/>
    <w:basedOn w:val="Normal"/>
    <w:link w:val="FooterChar"/>
    <w:uiPriority w:val="99"/>
    <w:unhideWhenUsed/>
    <w:rsid w:val="004E7440"/>
    <w:pPr>
      <w:tabs>
        <w:tab w:val="center" w:pos="4513"/>
        <w:tab w:val="right" w:pos="9026"/>
      </w:tabs>
    </w:pPr>
  </w:style>
  <w:style w:type="character" w:customStyle="1" w:styleId="FooterChar">
    <w:name w:val="Footer Char"/>
    <w:basedOn w:val="DefaultParagraphFont"/>
    <w:link w:val="Footer"/>
    <w:uiPriority w:val="99"/>
    <w:rsid w:val="004E7440"/>
    <w:rPr>
      <w:sz w:val="22"/>
      <w:szCs w:val="20"/>
      <w:lang w:eastAsia="en-GB"/>
    </w:rPr>
  </w:style>
  <w:style w:type="paragraph" w:customStyle="1" w:styleId="Default">
    <w:name w:val="Default"/>
    <w:rsid w:val="00A070E1"/>
    <w:pPr>
      <w:autoSpaceDE w:val="0"/>
      <w:autoSpaceDN w:val="0"/>
      <w:adjustRightInd w:val="0"/>
      <w:spacing w:after="0" w:line="240" w:lineRule="auto"/>
    </w:pPr>
    <w:rPr>
      <w:rFonts w:cs="Arial"/>
      <w:color w:val="000000"/>
    </w:rPr>
  </w:style>
  <w:style w:type="paragraph" w:styleId="ListParagraph">
    <w:name w:val="List Paragraph"/>
    <w:basedOn w:val="Normal"/>
    <w:uiPriority w:val="34"/>
    <w:qFormat/>
    <w:rsid w:val="008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pati-svc</cp:lastModifiedBy>
  <cp:revision>2</cp:revision>
  <dcterms:created xsi:type="dcterms:W3CDTF">2023-10-23T14:26:00Z</dcterms:created>
  <dcterms:modified xsi:type="dcterms:W3CDTF">2023-10-23T14:26:00Z</dcterms:modified>
</cp:coreProperties>
</file>