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14DE" w14:textId="77777777" w:rsidR="00F6242E" w:rsidRDefault="00F6242E">
      <w:pPr>
        <w:spacing w:after="209" w:line="318" w:lineRule="exact"/>
        <w:ind w:right="-567"/>
        <w:rPr>
          <w:rFonts w:ascii="Calibri" w:eastAsia="Calibri" w:hAnsi="Calibri" w:cs="Calibri"/>
          <w:color w:val="000000"/>
          <w:sz w:val="22"/>
          <w:szCs w:val="22"/>
        </w:rPr>
      </w:pPr>
    </w:p>
    <w:p w14:paraId="54100A52" w14:textId="77777777" w:rsidR="00F6242E" w:rsidRDefault="00F6242E">
      <w:pPr>
        <w:spacing w:after="209" w:line="318" w:lineRule="exact"/>
        <w:ind w:right="-567"/>
        <w:rPr>
          <w:rFonts w:ascii="Calibri" w:eastAsia="Calibri" w:hAnsi="Calibri" w:cs="Calibri"/>
          <w:color w:val="000000"/>
          <w:sz w:val="22"/>
          <w:szCs w:val="22"/>
        </w:rPr>
      </w:pPr>
    </w:p>
    <w:p w14:paraId="7B0B3353" w14:textId="77777777" w:rsidR="00F6242E" w:rsidRDefault="00F6242E">
      <w:pPr>
        <w:spacing w:after="209" w:line="318" w:lineRule="exact"/>
        <w:ind w:right="-567"/>
        <w:rPr>
          <w:rFonts w:ascii="Calibri" w:eastAsia="Calibri" w:hAnsi="Calibri" w:cs="Calibri"/>
          <w:color w:val="000000"/>
          <w:sz w:val="22"/>
          <w:szCs w:val="22"/>
        </w:rPr>
      </w:pPr>
    </w:p>
    <w:p w14:paraId="240EB667" w14:textId="77777777" w:rsidR="00F6242E" w:rsidRDefault="00F6242E">
      <w:pPr>
        <w:spacing w:after="209" w:line="318" w:lineRule="exact"/>
        <w:ind w:right="-567"/>
        <w:rPr>
          <w:rFonts w:ascii="Calibri" w:eastAsia="Calibri" w:hAnsi="Calibri" w:cs="Calibri"/>
          <w:color w:val="000000"/>
          <w:sz w:val="22"/>
          <w:szCs w:val="22"/>
        </w:rPr>
      </w:pPr>
    </w:p>
    <w:p w14:paraId="17FF5BA0" w14:textId="77777777" w:rsidR="00F6242E" w:rsidRDefault="00F6242E">
      <w:pPr>
        <w:spacing w:after="209" w:line="318" w:lineRule="exact"/>
        <w:ind w:right="-567"/>
        <w:rPr>
          <w:rFonts w:ascii="Calibri" w:eastAsia="Calibri" w:hAnsi="Calibri" w:cs="Calibri"/>
          <w:color w:val="000000"/>
          <w:sz w:val="22"/>
          <w:szCs w:val="22"/>
        </w:rPr>
      </w:pPr>
    </w:p>
    <w:p w14:paraId="67D58730" w14:textId="47086AF1" w:rsidR="00B054AB" w:rsidRDefault="00627DEB">
      <w:pPr>
        <w:spacing w:after="209" w:line="318" w:lineRule="exact"/>
        <w:ind w:right="-567"/>
      </w:pPr>
      <w:r>
        <w:rPr>
          <w:noProof/>
        </w:rPr>
        <w:drawing>
          <wp:anchor distT="0" distB="0" distL="114300" distR="114300" simplePos="0" relativeHeight="251657728" behindDoc="1" locked="0" layoutInCell="1" allowOverlap="1" wp14:anchorId="67D58769" wp14:editId="7B031C70">
            <wp:simplePos x="0" y="0"/>
            <wp:positionH relativeFrom="page">
              <wp:posOffset>914400</wp:posOffset>
            </wp:positionH>
            <wp:positionV relativeFrom="page">
              <wp:posOffset>914400</wp:posOffset>
            </wp:positionV>
            <wp:extent cx="5353050" cy="205422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4A8">
        <w:rPr>
          <w:rFonts w:ascii="Calibri" w:eastAsia="Calibri" w:hAnsi="Calibri" w:cs="Calibri"/>
          <w:color w:val="000000"/>
          <w:sz w:val="22"/>
          <w:szCs w:val="22"/>
        </w:rPr>
        <w:t>2</w:t>
      </w:r>
      <w:r w:rsidR="00275D43">
        <w:rPr>
          <w:rFonts w:ascii="Calibri" w:eastAsia="Calibri" w:hAnsi="Calibri" w:cs="Calibri"/>
          <w:color w:val="000000"/>
          <w:sz w:val="22"/>
          <w:szCs w:val="22"/>
        </w:rPr>
        <w:t>3</w:t>
      </w:r>
      <w:r w:rsidR="00275D43" w:rsidRPr="00275D43">
        <w:rPr>
          <w:rFonts w:ascii="Calibri" w:eastAsia="Calibri" w:hAnsi="Calibri" w:cs="Calibri"/>
          <w:color w:val="000000"/>
          <w:sz w:val="22"/>
          <w:szCs w:val="22"/>
          <w:vertAlign w:val="superscript"/>
        </w:rPr>
        <w:t>rd</w:t>
      </w:r>
      <w:r w:rsidR="00275D43">
        <w:rPr>
          <w:rFonts w:ascii="Calibri" w:eastAsia="Calibri" w:hAnsi="Calibri" w:cs="Calibri"/>
          <w:color w:val="000000"/>
          <w:sz w:val="22"/>
          <w:szCs w:val="22"/>
        </w:rPr>
        <w:t xml:space="preserve"> </w:t>
      </w:r>
      <w:r w:rsidR="00C734A8">
        <w:rPr>
          <w:rFonts w:ascii="Calibri" w:eastAsia="Calibri" w:hAnsi="Calibri" w:cs="Calibri"/>
          <w:color w:val="000000"/>
          <w:sz w:val="22"/>
          <w:szCs w:val="22"/>
        </w:rPr>
        <w:t>February</w:t>
      </w:r>
      <w:r w:rsidR="006E057D">
        <w:rPr>
          <w:rFonts w:ascii="Calibri" w:eastAsia="Calibri" w:hAnsi="Calibri" w:cs="Calibri"/>
          <w:color w:val="000000"/>
          <w:sz w:val="22"/>
          <w:szCs w:val="22"/>
        </w:rPr>
        <w:t xml:space="preserve"> 2024</w:t>
      </w:r>
      <w:r w:rsidR="00FB250C">
        <w:rPr>
          <w:rFonts w:ascii="Calibri" w:eastAsia="Calibri" w:hAnsi="Calibri" w:cs="Calibri"/>
          <w:color w:val="000000"/>
          <w:sz w:val="22"/>
          <w:szCs w:val="22"/>
        </w:rPr>
        <w:t> </w:t>
      </w:r>
    </w:p>
    <w:p w14:paraId="59987356" w14:textId="26F16267" w:rsidR="00DD5DBF" w:rsidRPr="00A75886" w:rsidRDefault="00DD5DBF">
      <w:pPr>
        <w:spacing w:after="206" w:line="220" w:lineRule="exact"/>
        <w:ind w:right="-567"/>
        <w:rPr>
          <w:rFonts w:asciiTheme="minorHAnsi" w:eastAsia="Calibri" w:hAnsiTheme="minorHAnsi" w:cstheme="minorHAnsi"/>
          <w:color w:val="000000"/>
          <w:sz w:val="22"/>
          <w:szCs w:val="22"/>
        </w:rPr>
      </w:pPr>
    </w:p>
    <w:p w14:paraId="67D58731" w14:textId="393FA48C" w:rsidR="00B054AB" w:rsidRPr="00A75886" w:rsidRDefault="00FB250C">
      <w:pPr>
        <w:spacing w:after="206" w:line="220" w:lineRule="exact"/>
        <w:ind w:right="-567"/>
        <w:rPr>
          <w:rFonts w:asciiTheme="minorHAnsi" w:hAnsiTheme="minorHAnsi" w:cstheme="minorHAnsi"/>
        </w:rPr>
      </w:pPr>
      <w:r w:rsidRPr="00A75886">
        <w:rPr>
          <w:rFonts w:asciiTheme="minorHAnsi" w:eastAsia="Calibri" w:hAnsiTheme="minorHAnsi" w:cstheme="minorHAnsi"/>
          <w:color w:val="000000"/>
          <w:sz w:val="22"/>
          <w:szCs w:val="22"/>
        </w:rPr>
        <w:t>Planning Department </w:t>
      </w:r>
    </w:p>
    <w:p w14:paraId="67D58732" w14:textId="374EF666" w:rsidR="00B054AB" w:rsidRPr="00A75886" w:rsidRDefault="00275D43">
      <w:pPr>
        <w:spacing w:after="209" w:line="220" w:lineRule="exact"/>
        <w:ind w:right="-567"/>
        <w:rPr>
          <w:rFonts w:asciiTheme="minorHAnsi" w:hAnsiTheme="minorHAnsi" w:cstheme="minorHAnsi"/>
        </w:rPr>
      </w:pPr>
      <w:r>
        <w:rPr>
          <w:rFonts w:asciiTheme="minorHAnsi" w:eastAsia="Calibri" w:hAnsiTheme="minorHAnsi" w:cstheme="minorHAnsi"/>
          <w:color w:val="000000"/>
          <w:sz w:val="22"/>
          <w:szCs w:val="22"/>
        </w:rPr>
        <w:t>North Northants Council</w:t>
      </w:r>
      <w:r w:rsidR="00FB250C" w:rsidRPr="00A75886">
        <w:rPr>
          <w:rFonts w:asciiTheme="minorHAnsi" w:eastAsia="Calibri" w:hAnsiTheme="minorHAnsi" w:cstheme="minorHAnsi"/>
          <w:color w:val="000000"/>
          <w:sz w:val="22"/>
          <w:szCs w:val="22"/>
        </w:rPr>
        <w:t> </w:t>
      </w:r>
    </w:p>
    <w:p w14:paraId="78BD6C68" w14:textId="59BA1304" w:rsidR="00017A95" w:rsidRPr="00E862DA" w:rsidRDefault="00275D43" w:rsidP="00CC4894">
      <w:pPr>
        <w:spacing w:after="209"/>
        <w:ind w:right="-567"/>
        <w:rPr>
          <w:rFonts w:asciiTheme="minorHAnsi" w:hAnsiTheme="minorHAnsi" w:cstheme="minorHAnsi"/>
          <w:color w:val="4D5156"/>
          <w:sz w:val="22"/>
          <w:szCs w:val="22"/>
          <w:shd w:val="clear" w:color="auto" w:fill="FFFFFF"/>
        </w:rPr>
      </w:pPr>
      <w:r w:rsidRPr="00E862DA">
        <w:rPr>
          <w:rFonts w:asciiTheme="minorHAnsi" w:hAnsiTheme="minorHAnsi" w:cstheme="minorHAnsi"/>
          <w:color w:val="4D5156"/>
          <w:sz w:val="22"/>
          <w:szCs w:val="22"/>
          <w:shd w:val="clear" w:color="auto" w:fill="FFFFFF"/>
        </w:rPr>
        <w:t>Wellingborough Area</w:t>
      </w:r>
    </w:p>
    <w:p w14:paraId="6A8704A3" w14:textId="77777777" w:rsidR="007E6FB8" w:rsidRPr="00A75886" w:rsidRDefault="007E6FB8" w:rsidP="00CC4894">
      <w:pPr>
        <w:spacing w:after="209"/>
        <w:ind w:right="-567"/>
        <w:rPr>
          <w:rFonts w:asciiTheme="minorHAnsi" w:hAnsiTheme="minorHAnsi" w:cstheme="minorHAnsi"/>
          <w:color w:val="4D5156"/>
          <w:sz w:val="21"/>
          <w:szCs w:val="21"/>
          <w:shd w:val="clear" w:color="auto" w:fill="FFFFFF"/>
        </w:rPr>
      </w:pPr>
    </w:p>
    <w:p w14:paraId="6DA9B0F6" w14:textId="5D7F302B" w:rsidR="00275D43" w:rsidRPr="00A75886" w:rsidRDefault="00017A95" w:rsidP="00275D43">
      <w:pPr>
        <w:spacing w:after="209"/>
        <w:ind w:right="-567"/>
        <w:rPr>
          <w:rFonts w:asciiTheme="minorHAnsi" w:eastAsia="Calibri" w:hAnsiTheme="minorHAnsi" w:cstheme="minorHAnsi"/>
          <w:color w:val="000000"/>
          <w:sz w:val="22"/>
          <w:szCs w:val="22"/>
        </w:rPr>
      </w:pPr>
      <w:r w:rsidRPr="00A75886">
        <w:rPr>
          <w:rFonts w:asciiTheme="minorHAnsi" w:hAnsiTheme="minorHAnsi" w:cstheme="minorHAnsi"/>
          <w:color w:val="4D5156"/>
          <w:sz w:val="21"/>
          <w:szCs w:val="21"/>
          <w:shd w:val="clear" w:color="auto" w:fill="FFFFFF"/>
        </w:rPr>
        <w:t xml:space="preserve"> </w:t>
      </w:r>
    </w:p>
    <w:p w14:paraId="6F0CE066" w14:textId="52785D70" w:rsidR="00DD5DBF" w:rsidRPr="00A75886" w:rsidRDefault="00DD5DBF" w:rsidP="00CC4894">
      <w:pPr>
        <w:spacing w:after="209"/>
        <w:ind w:right="-567"/>
        <w:rPr>
          <w:rFonts w:asciiTheme="minorHAnsi" w:eastAsia="Calibri" w:hAnsiTheme="minorHAnsi" w:cstheme="minorHAnsi"/>
          <w:color w:val="000000"/>
          <w:sz w:val="22"/>
          <w:szCs w:val="22"/>
        </w:rPr>
      </w:pPr>
    </w:p>
    <w:p w14:paraId="67D58736" w14:textId="489CE441" w:rsidR="00B054AB" w:rsidRPr="00951984" w:rsidRDefault="00FB250C" w:rsidP="00CC4894">
      <w:pPr>
        <w:spacing w:after="209"/>
        <w:ind w:right="-567"/>
        <w:rPr>
          <w:rFonts w:asciiTheme="minorHAnsi" w:hAnsiTheme="minorHAnsi" w:cstheme="minorHAnsi"/>
          <w:sz w:val="22"/>
          <w:szCs w:val="22"/>
        </w:rPr>
      </w:pPr>
      <w:r w:rsidRPr="00951984">
        <w:rPr>
          <w:rFonts w:asciiTheme="minorHAnsi" w:eastAsia="Calibri" w:hAnsiTheme="minorHAnsi" w:cstheme="minorHAnsi"/>
          <w:color w:val="000000"/>
          <w:sz w:val="22"/>
          <w:szCs w:val="22"/>
        </w:rPr>
        <w:t>Dear </w:t>
      </w:r>
      <w:r w:rsidR="00275D43">
        <w:rPr>
          <w:rFonts w:asciiTheme="minorHAnsi" w:eastAsia="Calibri" w:hAnsiTheme="minorHAnsi" w:cstheme="minorHAnsi"/>
          <w:color w:val="000000"/>
          <w:sz w:val="22"/>
          <w:szCs w:val="22"/>
        </w:rPr>
        <w:t>Sir / Madam</w:t>
      </w:r>
    </w:p>
    <w:p w14:paraId="6E84D594" w14:textId="66B575D9" w:rsidR="005049D6" w:rsidRPr="005049D6" w:rsidRDefault="001410B4" w:rsidP="005049D6">
      <w:pPr>
        <w:pStyle w:val="NormalWeb"/>
        <w:spacing w:after="160"/>
        <w:rPr>
          <w:rFonts w:ascii="Calibri" w:hAnsi="Calibri" w:cs="Calibri"/>
          <w:b/>
          <w:bCs/>
          <w:color w:val="000000"/>
          <w:sz w:val="22"/>
          <w:szCs w:val="22"/>
        </w:rPr>
      </w:pPr>
      <w:r>
        <w:rPr>
          <w:rFonts w:ascii="Calibri" w:hAnsi="Calibri" w:cs="Calibri"/>
          <w:b/>
          <w:bCs/>
          <w:color w:val="000000"/>
          <w:sz w:val="22"/>
          <w:szCs w:val="22"/>
        </w:rPr>
        <w:t>RE:</w:t>
      </w:r>
      <w:r w:rsidR="00283729">
        <w:rPr>
          <w:rFonts w:ascii="Calibri" w:hAnsi="Calibri" w:cs="Calibri"/>
          <w:b/>
          <w:bCs/>
          <w:color w:val="000000"/>
          <w:sz w:val="22"/>
          <w:szCs w:val="22"/>
        </w:rPr>
        <w:t xml:space="preserve"> </w:t>
      </w:r>
      <w:r w:rsidR="001A6F7B">
        <w:rPr>
          <w:rFonts w:ascii="Calibri" w:hAnsi="Calibri" w:cs="Calibri"/>
          <w:b/>
          <w:bCs/>
          <w:color w:val="000000"/>
          <w:sz w:val="22"/>
          <w:szCs w:val="22"/>
        </w:rPr>
        <w:t xml:space="preserve">Non-Material Amanement to   Condition 2 (plans) and  Condition 5 (Materials) of </w:t>
      </w:r>
      <w:r w:rsidR="001A6F7B" w:rsidRPr="001A6F7B">
        <w:rPr>
          <w:rStyle w:val="casenumber"/>
          <w:rFonts w:asciiTheme="minorHAnsi" w:hAnsiTheme="minorHAnsi" w:cstheme="minorHAnsi"/>
          <w:b/>
          <w:bCs/>
          <w:color w:val="000000"/>
          <w:sz w:val="22"/>
          <w:szCs w:val="22"/>
          <w:shd w:val="clear" w:color="auto" w:fill="FFFFFF"/>
        </w:rPr>
        <w:t>NW/21/00159/FUL</w:t>
      </w:r>
      <w:r w:rsidR="001A6F7B" w:rsidRPr="001A6F7B">
        <w:rPr>
          <w:rStyle w:val="casenumber"/>
          <w:rFonts w:asciiTheme="minorHAnsi" w:hAnsiTheme="minorHAnsi" w:cstheme="minorHAnsi"/>
          <w:b/>
          <w:bCs/>
          <w:color w:val="000000"/>
          <w:sz w:val="22"/>
          <w:szCs w:val="22"/>
          <w:shd w:val="clear" w:color="auto" w:fill="FFFFFF"/>
        </w:rPr>
        <w:t xml:space="preserve"> “</w:t>
      </w:r>
      <w:r w:rsidR="001A6F7B" w:rsidRPr="001A6F7B">
        <w:rPr>
          <w:rStyle w:val="description"/>
          <w:rFonts w:asciiTheme="minorHAnsi" w:hAnsiTheme="minorHAnsi" w:cstheme="minorHAnsi"/>
          <w:b/>
          <w:bCs/>
          <w:color w:val="000000"/>
          <w:sz w:val="22"/>
          <w:szCs w:val="22"/>
          <w:shd w:val="clear" w:color="auto" w:fill="FFFFFF"/>
        </w:rPr>
        <w:t>Conversion of heritage centre to one bedroom dwelling, demolition of rear extension, erection of a single storey rear extension and installation of rooflights to rear (north) elevation. External alterations</w:t>
      </w:r>
      <w:r w:rsidR="001A6F7B" w:rsidRPr="001A6F7B">
        <w:rPr>
          <w:rStyle w:val="description"/>
          <w:rFonts w:asciiTheme="minorHAnsi" w:hAnsiTheme="minorHAnsi" w:cstheme="minorHAnsi"/>
          <w:b/>
          <w:bCs/>
          <w:color w:val="000000"/>
          <w:sz w:val="22"/>
          <w:szCs w:val="22"/>
          <w:shd w:val="clear" w:color="auto" w:fill="FFFFFF"/>
        </w:rPr>
        <w:t>.</w:t>
      </w:r>
      <w:r w:rsidR="001A6F7B">
        <w:rPr>
          <w:rStyle w:val="description"/>
          <w:rFonts w:asciiTheme="minorHAnsi" w:hAnsiTheme="minorHAnsi" w:cstheme="minorHAnsi"/>
          <w:b/>
          <w:bCs/>
          <w:color w:val="000000"/>
          <w:sz w:val="22"/>
          <w:szCs w:val="22"/>
          <w:shd w:val="clear" w:color="auto" w:fill="FFFFFF"/>
        </w:rPr>
        <w:t>”</w:t>
      </w:r>
    </w:p>
    <w:p w14:paraId="790291D0" w14:textId="77777777" w:rsidR="005049D6" w:rsidRPr="005049D6" w:rsidRDefault="005049D6" w:rsidP="005049D6">
      <w:pPr>
        <w:pStyle w:val="NormalWeb"/>
        <w:spacing w:after="160"/>
        <w:rPr>
          <w:rFonts w:ascii="Calibri" w:hAnsi="Calibri" w:cs="Calibri"/>
          <w:b/>
          <w:bCs/>
          <w:color w:val="000000"/>
          <w:sz w:val="22"/>
          <w:szCs w:val="22"/>
        </w:rPr>
      </w:pPr>
      <w:r w:rsidRPr="005049D6">
        <w:rPr>
          <w:rFonts w:ascii="Calibri" w:hAnsi="Calibri" w:cs="Calibri"/>
          <w:b/>
          <w:bCs/>
          <w:color w:val="000000"/>
          <w:sz w:val="22"/>
          <w:szCs w:val="22"/>
        </w:rPr>
        <w:t>Adjacent 67 And 69 Local History Society High Street Finedon Wellingborough Northamptonshire NN9 5JN</w:t>
      </w:r>
    </w:p>
    <w:p w14:paraId="6190C688" w14:textId="22EEBA0B" w:rsidR="001A6F7B" w:rsidRDefault="00A478AA" w:rsidP="001A6F7B">
      <w:pPr>
        <w:pStyle w:val="NormalWeb"/>
        <w:spacing w:before="0" w:beforeAutospacing="0" w:after="160" w:afterAutospacing="0"/>
        <w:jc w:val="both"/>
        <w:rPr>
          <w:rFonts w:asciiTheme="minorHAnsi" w:hAnsiTheme="minorHAnsi" w:cstheme="minorHAnsi"/>
          <w:color w:val="000000"/>
          <w:sz w:val="22"/>
          <w:szCs w:val="22"/>
        </w:rPr>
      </w:pPr>
      <w:r w:rsidRPr="001065BF">
        <w:rPr>
          <w:rFonts w:asciiTheme="minorHAnsi" w:hAnsiTheme="minorHAnsi" w:cstheme="minorHAnsi"/>
          <w:color w:val="000000"/>
          <w:sz w:val="22"/>
          <w:szCs w:val="22"/>
        </w:rPr>
        <w:t xml:space="preserve">I write on behalf of </w:t>
      </w:r>
      <w:r w:rsidR="00E53E88" w:rsidRPr="001065BF">
        <w:rPr>
          <w:rFonts w:asciiTheme="minorHAnsi" w:hAnsiTheme="minorHAnsi" w:cstheme="minorHAnsi"/>
          <w:color w:val="000000"/>
          <w:sz w:val="22"/>
          <w:szCs w:val="22"/>
        </w:rPr>
        <w:t xml:space="preserve"> M</w:t>
      </w:r>
      <w:r w:rsidR="005049D6">
        <w:rPr>
          <w:rFonts w:asciiTheme="minorHAnsi" w:hAnsiTheme="minorHAnsi" w:cstheme="minorHAnsi"/>
          <w:color w:val="000000"/>
          <w:sz w:val="22"/>
          <w:szCs w:val="22"/>
        </w:rPr>
        <w:t xml:space="preserve">r Poole, </w:t>
      </w:r>
      <w:r w:rsidR="00E53E88" w:rsidRPr="001065BF">
        <w:rPr>
          <w:rFonts w:asciiTheme="minorHAnsi" w:hAnsiTheme="minorHAnsi" w:cstheme="minorHAnsi"/>
          <w:color w:val="000000"/>
          <w:sz w:val="22"/>
          <w:szCs w:val="22"/>
        </w:rPr>
        <w:t xml:space="preserve"> </w:t>
      </w:r>
      <w:r w:rsidR="0096474D" w:rsidRPr="001065BF">
        <w:rPr>
          <w:rFonts w:asciiTheme="minorHAnsi" w:hAnsiTheme="minorHAnsi" w:cstheme="minorHAnsi"/>
          <w:color w:val="000000"/>
          <w:sz w:val="22"/>
          <w:szCs w:val="22"/>
        </w:rPr>
        <w:t>the applicant</w:t>
      </w:r>
      <w:r w:rsidR="005049D6">
        <w:rPr>
          <w:rFonts w:asciiTheme="minorHAnsi" w:hAnsiTheme="minorHAnsi" w:cstheme="minorHAnsi"/>
          <w:color w:val="000000"/>
          <w:sz w:val="22"/>
          <w:szCs w:val="22"/>
        </w:rPr>
        <w:t xml:space="preserve">, </w:t>
      </w:r>
      <w:r w:rsidR="0096474D" w:rsidRPr="001065BF">
        <w:rPr>
          <w:rFonts w:asciiTheme="minorHAnsi" w:hAnsiTheme="minorHAnsi" w:cstheme="minorHAnsi"/>
          <w:color w:val="000000"/>
          <w:sz w:val="22"/>
          <w:szCs w:val="22"/>
        </w:rPr>
        <w:t xml:space="preserve"> for the works described above</w:t>
      </w:r>
      <w:r w:rsidR="005049D6">
        <w:rPr>
          <w:rFonts w:asciiTheme="minorHAnsi" w:hAnsiTheme="minorHAnsi" w:cstheme="minorHAnsi"/>
          <w:color w:val="000000"/>
          <w:sz w:val="22"/>
          <w:szCs w:val="22"/>
        </w:rPr>
        <w:t xml:space="preserve"> </w:t>
      </w:r>
      <w:r w:rsidR="0078760D">
        <w:rPr>
          <w:rFonts w:asciiTheme="minorHAnsi" w:hAnsiTheme="minorHAnsi" w:cstheme="minorHAnsi"/>
          <w:color w:val="000000"/>
          <w:sz w:val="22"/>
          <w:szCs w:val="22"/>
        </w:rPr>
        <w:t>and</w:t>
      </w:r>
      <w:r w:rsidR="005049D6">
        <w:rPr>
          <w:rFonts w:asciiTheme="minorHAnsi" w:hAnsiTheme="minorHAnsi" w:cstheme="minorHAnsi"/>
          <w:color w:val="000000"/>
          <w:sz w:val="22"/>
          <w:szCs w:val="22"/>
        </w:rPr>
        <w:t xml:space="preserve"> submit details of the roof</w:t>
      </w:r>
      <w:r w:rsidR="001A6F7B">
        <w:rPr>
          <w:rFonts w:asciiTheme="minorHAnsi" w:hAnsiTheme="minorHAnsi" w:cstheme="minorHAnsi"/>
          <w:color w:val="000000"/>
          <w:sz w:val="22"/>
          <w:szCs w:val="22"/>
        </w:rPr>
        <w:t xml:space="preserve"> design (revised valley plan approved under NMA</w:t>
      </w:r>
      <w:r w:rsidR="00A17B7B">
        <w:rPr>
          <w:rFonts w:asciiTheme="minorHAnsi" w:hAnsiTheme="minorHAnsi" w:cstheme="minorHAnsi"/>
          <w:color w:val="000000"/>
          <w:sz w:val="22"/>
          <w:szCs w:val="22"/>
        </w:rPr>
        <w:t xml:space="preserve"> NW/23/00769/AMD) and an alteration to the materials as  which were approved under a discharge of condition application relating to condition 5(materials) of planning permission NW/21/00159/FUL.</w:t>
      </w:r>
    </w:p>
    <w:p w14:paraId="7505B870" w14:textId="77777777" w:rsidR="00DE5316" w:rsidRDefault="00DE5316" w:rsidP="001A6F7B">
      <w:pPr>
        <w:pStyle w:val="NormalWeb"/>
        <w:spacing w:before="0" w:beforeAutospacing="0" w:after="160" w:afterAutospacing="0"/>
        <w:jc w:val="both"/>
        <w:rPr>
          <w:rFonts w:asciiTheme="minorHAnsi" w:hAnsiTheme="minorHAnsi" w:cstheme="minorHAnsi"/>
        </w:rPr>
      </w:pPr>
      <w:r w:rsidRPr="00DE5316">
        <w:rPr>
          <w:rFonts w:asciiTheme="minorHAnsi" w:hAnsiTheme="minorHAnsi" w:cstheme="minorHAnsi"/>
        </w:rPr>
        <w:t xml:space="preserve">S96A of the Town and Country Planning Act allows a Local Planning Authority to make a change to any planning permission if they are satisfied that the change is not material. There is not a statutory definition of 'non-material' and each case must be considered on its merits. </w:t>
      </w:r>
    </w:p>
    <w:p w14:paraId="110F82F8" w14:textId="6F0384AC" w:rsidR="00DE5316" w:rsidRPr="00DE5316" w:rsidRDefault="00DE5316" w:rsidP="001A6F7B">
      <w:pPr>
        <w:pStyle w:val="NormalWeb"/>
        <w:spacing w:before="0" w:beforeAutospacing="0" w:after="160" w:afterAutospacing="0"/>
        <w:jc w:val="both"/>
        <w:rPr>
          <w:rFonts w:asciiTheme="minorHAnsi" w:hAnsiTheme="minorHAnsi" w:cstheme="minorHAnsi"/>
          <w:color w:val="000000"/>
          <w:sz w:val="22"/>
          <w:szCs w:val="22"/>
        </w:rPr>
      </w:pPr>
      <w:r w:rsidRPr="00DE5316">
        <w:rPr>
          <w:rFonts w:asciiTheme="minorHAnsi" w:hAnsiTheme="minorHAnsi" w:cstheme="minorHAnsi"/>
        </w:rPr>
        <w:t>To aid the consideration of such applications there are a number of distinct tests that would need to be met in order for an amendment to be considered 'non-material'. These tests include; whether or not the proposed change would reasonably cause any third party or body, who participated in, or were informed of, the original decision-making process to be prejudiced or disadvantaged in any way; whether or not the proposed change would be of sufficient scale or magnitude such that it would alter the original planning decision and whether or not the proposed change would introduce new environmental or planning consideration which would not have reasonably been considered in the determination of the original planning application.</w:t>
      </w:r>
    </w:p>
    <w:p w14:paraId="38381918" w14:textId="77777777" w:rsidR="00DE5316" w:rsidRDefault="00DE5316" w:rsidP="001A6F7B">
      <w:pPr>
        <w:pStyle w:val="NormalWeb"/>
        <w:spacing w:before="0" w:beforeAutospacing="0" w:after="160" w:afterAutospacing="0"/>
        <w:jc w:val="both"/>
        <w:rPr>
          <w:rFonts w:asciiTheme="minorHAnsi" w:hAnsiTheme="minorHAnsi" w:cstheme="minorHAnsi"/>
        </w:rPr>
      </w:pPr>
    </w:p>
    <w:p w14:paraId="3F3A884A" w14:textId="77777777" w:rsidR="00DE5316" w:rsidRPr="00DE5316" w:rsidRDefault="00DE5316" w:rsidP="001A6F7B">
      <w:pPr>
        <w:pStyle w:val="NormalWeb"/>
        <w:spacing w:before="0" w:beforeAutospacing="0" w:after="160" w:afterAutospacing="0"/>
        <w:jc w:val="both"/>
        <w:rPr>
          <w:rFonts w:asciiTheme="minorHAnsi" w:hAnsiTheme="minorHAnsi" w:cstheme="minorHAnsi"/>
        </w:rPr>
      </w:pPr>
    </w:p>
    <w:p w14:paraId="30BB475D" w14:textId="77777777" w:rsidR="00A17B7B" w:rsidRDefault="00A17B7B" w:rsidP="007F5F0A">
      <w:pPr>
        <w:spacing w:before="30" w:after="228"/>
        <w:ind w:right="-567"/>
        <w:jc w:val="both"/>
        <w:rPr>
          <w:rFonts w:asciiTheme="minorHAnsi" w:eastAsia="Calibri" w:hAnsiTheme="minorHAnsi" w:cstheme="minorHAnsi"/>
          <w:color w:val="000000"/>
          <w:sz w:val="22"/>
          <w:szCs w:val="22"/>
        </w:rPr>
      </w:pPr>
    </w:p>
    <w:p w14:paraId="78A19AB0" w14:textId="0D388BC1" w:rsidR="00A17B7B" w:rsidRPr="00DE5316" w:rsidRDefault="00A17B7B" w:rsidP="007F5F0A">
      <w:pPr>
        <w:spacing w:before="30" w:after="228"/>
        <w:ind w:right="-567"/>
        <w:jc w:val="both"/>
        <w:rPr>
          <w:rFonts w:asciiTheme="minorHAnsi" w:eastAsia="Calibri" w:hAnsiTheme="minorHAnsi" w:cstheme="minorHAnsi"/>
          <w:b/>
          <w:bCs/>
          <w:color w:val="000000"/>
          <w:sz w:val="22"/>
          <w:szCs w:val="22"/>
        </w:rPr>
      </w:pPr>
      <w:r w:rsidRPr="00DE5316">
        <w:rPr>
          <w:rFonts w:asciiTheme="minorHAnsi" w:eastAsia="Calibri" w:hAnsiTheme="minorHAnsi" w:cstheme="minorHAnsi"/>
          <w:b/>
          <w:bCs/>
          <w:color w:val="000000"/>
          <w:sz w:val="22"/>
          <w:szCs w:val="22"/>
        </w:rPr>
        <w:lastRenderedPageBreak/>
        <w:t>Condition 2 (plans)</w:t>
      </w:r>
    </w:p>
    <w:p w14:paraId="500F28E0" w14:textId="1AA9BE0B" w:rsidR="00A17B7B" w:rsidRDefault="00A17B7B" w:rsidP="007F5F0A">
      <w:pPr>
        <w:spacing w:before="30" w:after="228"/>
        <w:ind w:right="-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For buildout practicallity and continuity reasons the applicant would like ensure that accurate plans and an accurate record of materials is submitted and approved by the Council. As such we propose that plan no. JRD22-025-001 is added to Condition 2 of NW/21/00159/FUL.</w:t>
      </w:r>
    </w:p>
    <w:p w14:paraId="29FA533F" w14:textId="2CF68AFA" w:rsidR="00DE5316" w:rsidRDefault="00DE5316" w:rsidP="007F5F0A">
      <w:pPr>
        <w:spacing w:before="30" w:after="228"/>
        <w:ind w:right="-567"/>
        <w:jc w:val="both"/>
        <w:rPr>
          <w:rFonts w:asciiTheme="minorHAnsi" w:eastAsia="Calibri" w:hAnsiTheme="minorHAnsi" w:cstheme="minorHAnsi"/>
          <w:b/>
          <w:bCs/>
          <w:color w:val="000000"/>
          <w:sz w:val="22"/>
          <w:szCs w:val="22"/>
        </w:rPr>
      </w:pPr>
      <w:r w:rsidRPr="00DE5316">
        <w:rPr>
          <w:rFonts w:asciiTheme="minorHAnsi" w:eastAsia="Calibri" w:hAnsiTheme="minorHAnsi" w:cstheme="minorHAnsi"/>
          <w:b/>
          <w:bCs/>
          <w:color w:val="000000"/>
          <w:sz w:val="22"/>
          <w:szCs w:val="22"/>
        </w:rPr>
        <w:t>Condition 5</w:t>
      </w:r>
      <w:r>
        <w:rPr>
          <w:rFonts w:asciiTheme="minorHAnsi" w:eastAsia="Calibri" w:hAnsiTheme="minorHAnsi" w:cstheme="minorHAnsi"/>
          <w:b/>
          <w:bCs/>
          <w:color w:val="000000"/>
          <w:sz w:val="22"/>
          <w:szCs w:val="22"/>
        </w:rPr>
        <w:t xml:space="preserve"> (materials)</w:t>
      </w:r>
    </w:p>
    <w:p w14:paraId="3C3A49A3" w14:textId="075FB7C6" w:rsidR="00DE5316" w:rsidRPr="00DE5316" w:rsidRDefault="00DE5316" w:rsidP="007F5F0A">
      <w:pPr>
        <w:spacing w:before="30" w:after="228"/>
        <w:ind w:right="-567"/>
        <w:jc w:val="both"/>
        <w:rPr>
          <w:rFonts w:asciiTheme="minorHAnsi" w:eastAsia="Calibri" w:hAnsiTheme="minorHAnsi" w:cstheme="minorHAnsi"/>
          <w:color w:val="000000"/>
          <w:sz w:val="22"/>
          <w:szCs w:val="22"/>
        </w:rPr>
      </w:pPr>
      <w:r w:rsidRPr="00DE5316">
        <w:rPr>
          <w:rFonts w:asciiTheme="minorHAnsi" w:eastAsia="Calibri" w:hAnsiTheme="minorHAnsi" w:cstheme="minorHAnsi"/>
          <w:color w:val="000000"/>
          <w:sz w:val="22"/>
          <w:szCs w:val="22"/>
        </w:rPr>
        <w:t>Condition 5 of NW/21/00159/FUL reads as follows,</w:t>
      </w:r>
    </w:p>
    <w:p w14:paraId="436BFBF8" w14:textId="5A0EEC03" w:rsidR="00DE5316" w:rsidRDefault="00DE5316" w:rsidP="007F5F0A">
      <w:pPr>
        <w:spacing w:before="30" w:after="228"/>
        <w:ind w:right="-567"/>
        <w:jc w:val="both"/>
        <w:rPr>
          <w:rFonts w:asciiTheme="minorHAnsi" w:eastAsia="Calibri" w:hAnsiTheme="minorHAnsi" w:cstheme="minorHAnsi"/>
          <w:i/>
          <w:iCs/>
          <w:color w:val="000000"/>
          <w:sz w:val="22"/>
          <w:szCs w:val="22"/>
        </w:rPr>
      </w:pPr>
      <w:r>
        <w:rPr>
          <w:rFonts w:asciiTheme="minorHAnsi" w:eastAsia="Calibri" w:hAnsiTheme="minorHAnsi" w:cstheme="minorHAnsi"/>
          <w:i/>
          <w:iCs/>
          <w:color w:val="000000"/>
          <w:sz w:val="22"/>
          <w:szCs w:val="22"/>
        </w:rPr>
        <w:t>“</w:t>
      </w:r>
      <w:r w:rsidRPr="00DE5316">
        <w:rPr>
          <w:rFonts w:asciiTheme="minorHAnsi" w:eastAsia="Calibri" w:hAnsiTheme="minorHAnsi" w:cstheme="minorHAnsi"/>
          <w:i/>
          <w:iCs/>
          <w:color w:val="000000"/>
          <w:sz w:val="22"/>
          <w:szCs w:val="22"/>
        </w:rPr>
        <w:t xml:space="preserve">Prior to commencement of works, a schedule of all external finish materials, including the proposed brick (to be laid as specified in Flemish bond), proposed lime mortar, stone, </w:t>
      </w:r>
      <w:r w:rsidRPr="00DE5316">
        <w:rPr>
          <w:rFonts w:asciiTheme="minorHAnsi" w:eastAsia="Calibri" w:hAnsiTheme="minorHAnsi" w:cstheme="minorHAnsi"/>
          <w:b/>
          <w:bCs/>
          <w:i/>
          <w:iCs/>
          <w:color w:val="000000"/>
          <w:sz w:val="22"/>
          <w:szCs w:val="22"/>
        </w:rPr>
        <w:t>roofing materials</w:t>
      </w:r>
      <w:r w:rsidRPr="00DE5316">
        <w:rPr>
          <w:rFonts w:asciiTheme="minorHAnsi" w:eastAsia="Calibri" w:hAnsiTheme="minorHAnsi" w:cstheme="minorHAnsi"/>
          <w:i/>
          <w:iCs/>
          <w:color w:val="000000"/>
          <w:sz w:val="22"/>
          <w:szCs w:val="22"/>
        </w:rPr>
        <w:t xml:space="preserve"> which are to be retained and reused with matching natural slate to make up any difference, ridge tiles and chimney pots shall be submitted to and approved in writing by the local planning authority. Development and works shall be implemented in accordance with the approved materials and details specified and shall be permanently maintained as such.</w:t>
      </w:r>
      <w:r>
        <w:rPr>
          <w:rFonts w:asciiTheme="minorHAnsi" w:eastAsia="Calibri" w:hAnsiTheme="minorHAnsi" w:cstheme="minorHAnsi"/>
          <w:i/>
          <w:iCs/>
          <w:color w:val="000000"/>
          <w:sz w:val="22"/>
          <w:szCs w:val="22"/>
        </w:rPr>
        <w:t>”</w:t>
      </w:r>
    </w:p>
    <w:p w14:paraId="3F2E22E0" w14:textId="217831E9" w:rsidR="00DE5316" w:rsidRPr="00DE5316" w:rsidRDefault="00DE5316" w:rsidP="00DE5316">
      <w:pPr>
        <w:spacing w:before="30" w:after="228"/>
        <w:ind w:right="-567"/>
        <w:jc w:val="both"/>
        <w:rPr>
          <w:rFonts w:asciiTheme="minorHAnsi" w:eastAsia="Calibri" w:hAnsiTheme="minorHAnsi" w:cstheme="minorHAnsi"/>
          <w:color w:val="000000"/>
          <w:sz w:val="22"/>
          <w:szCs w:val="22"/>
        </w:rPr>
      </w:pPr>
      <w:r w:rsidRPr="00DE5316">
        <w:rPr>
          <w:rFonts w:asciiTheme="minorHAnsi" w:eastAsia="Calibri" w:hAnsiTheme="minorHAnsi" w:cstheme="minorHAnsi"/>
          <w:color w:val="000000"/>
          <w:sz w:val="22"/>
          <w:szCs w:val="22"/>
        </w:rPr>
        <w:t>The alterations  to the roof structure as approved by NW/23/00768/LBC and NW/23/00769/AMD require the use of a different roofing material. Pagurek Retro 25.340 material has been selected</w:t>
      </w:r>
      <w:r>
        <w:rPr>
          <w:rFonts w:asciiTheme="minorHAnsi" w:eastAsia="Calibri" w:hAnsiTheme="minorHAnsi" w:cstheme="minorHAnsi"/>
          <w:color w:val="000000"/>
          <w:sz w:val="22"/>
          <w:szCs w:val="22"/>
        </w:rPr>
        <w:t>.</w:t>
      </w:r>
    </w:p>
    <w:p w14:paraId="67FCB3AE" w14:textId="50C170D0" w:rsidR="00DE5316" w:rsidRPr="00DE5316" w:rsidRDefault="00DE5316" w:rsidP="00DE5316">
      <w:pPr>
        <w:spacing w:before="30" w:after="228"/>
        <w:ind w:right="-567"/>
        <w:jc w:val="center"/>
        <w:rPr>
          <w:rFonts w:asciiTheme="minorHAnsi" w:eastAsia="Calibri" w:hAnsiTheme="minorHAnsi" w:cstheme="minorHAnsi"/>
          <w:color w:val="000000"/>
          <w:sz w:val="22"/>
          <w:szCs w:val="22"/>
        </w:rPr>
      </w:pPr>
      <w:r>
        <w:rPr>
          <w:rFonts w:asciiTheme="minorHAnsi" w:eastAsia="Calibri" w:hAnsiTheme="minorHAnsi" w:cstheme="minorHAnsi"/>
          <w:noProof/>
          <w:color w:val="000000"/>
          <w:sz w:val="22"/>
          <w:szCs w:val="22"/>
        </w:rPr>
        <w:drawing>
          <wp:inline distT="0" distB="0" distL="0" distR="0" wp14:anchorId="62BA7AA4" wp14:editId="22953290">
            <wp:extent cx="1853565" cy="1469390"/>
            <wp:effectExtent l="0" t="0" r="0" b="0"/>
            <wp:docPr id="1603318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565" cy="1469390"/>
                    </a:xfrm>
                    <a:prstGeom prst="rect">
                      <a:avLst/>
                    </a:prstGeom>
                    <a:noFill/>
                  </pic:spPr>
                </pic:pic>
              </a:graphicData>
            </a:graphic>
          </wp:inline>
        </w:drawing>
      </w:r>
    </w:p>
    <w:p w14:paraId="6485FEEA" w14:textId="77777777" w:rsidR="00DE5316" w:rsidRPr="00DE5316" w:rsidRDefault="00DE5316" w:rsidP="00DE5316">
      <w:pPr>
        <w:spacing w:before="30" w:after="228"/>
        <w:ind w:right="-567"/>
        <w:jc w:val="both"/>
        <w:rPr>
          <w:rFonts w:asciiTheme="minorHAnsi" w:eastAsia="Calibri" w:hAnsiTheme="minorHAnsi" w:cstheme="minorHAnsi"/>
          <w:color w:val="000000"/>
          <w:sz w:val="22"/>
          <w:szCs w:val="22"/>
        </w:rPr>
      </w:pPr>
      <w:r w:rsidRPr="00DE5316">
        <w:rPr>
          <w:rFonts w:asciiTheme="minorHAnsi" w:eastAsia="Calibri" w:hAnsiTheme="minorHAnsi" w:cstheme="minorHAnsi"/>
          <w:color w:val="000000"/>
          <w:sz w:val="22"/>
          <w:szCs w:val="22"/>
        </w:rPr>
        <w:t xml:space="preserve"> </w:t>
      </w:r>
    </w:p>
    <w:p w14:paraId="039135A5" w14:textId="77777777" w:rsidR="00DE5316" w:rsidRPr="00DE5316" w:rsidRDefault="00DE5316" w:rsidP="00DE5316">
      <w:pPr>
        <w:spacing w:before="30" w:after="228"/>
        <w:ind w:right="-567"/>
        <w:jc w:val="both"/>
        <w:rPr>
          <w:rFonts w:asciiTheme="minorHAnsi" w:eastAsia="Calibri" w:hAnsiTheme="minorHAnsi" w:cstheme="minorHAnsi"/>
          <w:color w:val="000000"/>
          <w:sz w:val="22"/>
          <w:szCs w:val="22"/>
        </w:rPr>
      </w:pPr>
      <w:r w:rsidRPr="00DE5316">
        <w:rPr>
          <w:rFonts w:asciiTheme="minorHAnsi" w:eastAsia="Calibri" w:hAnsiTheme="minorHAnsi" w:cstheme="minorHAnsi"/>
          <w:color w:val="000000"/>
          <w:sz w:val="22"/>
          <w:szCs w:val="22"/>
        </w:rPr>
        <w:t xml:space="preserve">Specific details can be found at the following website, </w:t>
      </w:r>
    </w:p>
    <w:p w14:paraId="6CB894F8" w14:textId="5E74D36F" w:rsidR="00A17B7B" w:rsidRDefault="00DE5316" w:rsidP="007F5F0A">
      <w:pPr>
        <w:spacing w:before="30" w:after="228"/>
        <w:ind w:right="-567"/>
        <w:jc w:val="both"/>
        <w:rPr>
          <w:rFonts w:asciiTheme="minorHAnsi" w:eastAsia="Calibri" w:hAnsiTheme="minorHAnsi" w:cstheme="minorHAnsi"/>
          <w:color w:val="000000"/>
          <w:sz w:val="22"/>
          <w:szCs w:val="22"/>
        </w:rPr>
      </w:pPr>
      <w:hyperlink r:id="rId6" w:history="1">
        <w:r w:rsidRPr="00954BFE">
          <w:rPr>
            <w:rStyle w:val="Hyperlink"/>
            <w:rFonts w:asciiTheme="minorHAnsi" w:eastAsia="Calibri" w:hAnsiTheme="minorHAnsi" w:cstheme="minorHAnsi"/>
            <w:sz w:val="22"/>
            <w:szCs w:val="22"/>
          </w:rPr>
          <w:t>https://www.pagurek.co.uk/panel-retro-25/</w:t>
        </w:r>
      </w:hyperlink>
    </w:p>
    <w:p w14:paraId="5EE586E5" w14:textId="1BAD91A1" w:rsidR="00501427" w:rsidRPr="00501427" w:rsidRDefault="00BE196D" w:rsidP="007F5F0A">
      <w:pPr>
        <w:spacing w:before="30" w:after="228"/>
        <w:ind w:right="-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We trust this information acceptable but please contact me if you have any questions.</w:t>
      </w:r>
    </w:p>
    <w:p w14:paraId="50DAE547" w14:textId="0268D3B7" w:rsidR="00DE5316" w:rsidRPr="00DE5316" w:rsidRDefault="00DE5316" w:rsidP="007F5F0A">
      <w:pPr>
        <w:spacing w:before="30" w:after="228"/>
        <w:ind w:right="-567"/>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The changes proposed are clearly in line with guidance relating to Section 96a of the Town and Country Planning Act 1990(as amended). As such this application should be approved.</w:t>
      </w:r>
    </w:p>
    <w:p w14:paraId="64662947" w14:textId="77777777" w:rsidR="00DE5316" w:rsidRDefault="00DE5316" w:rsidP="007F5F0A">
      <w:pPr>
        <w:spacing w:before="30" w:after="228"/>
        <w:ind w:right="-567"/>
        <w:jc w:val="both"/>
        <w:rPr>
          <w:rFonts w:asciiTheme="minorHAnsi" w:eastAsia="Calibri" w:hAnsiTheme="minorHAnsi" w:cstheme="minorHAnsi"/>
          <w:b/>
          <w:bCs/>
          <w:color w:val="000000"/>
          <w:sz w:val="22"/>
          <w:szCs w:val="22"/>
        </w:rPr>
      </w:pPr>
    </w:p>
    <w:p w14:paraId="67D58763" w14:textId="438B44CB" w:rsidR="00B054AB" w:rsidRPr="001065BF" w:rsidRDefault="00FB250C" w:rsidP="007F5F0A">
      <w:pPr>
        <w:spacing w:before="30" w:after="228"/>
        <w:ind w:right="-567"/>
        <w:jc w:val="both"/>
        <w:rPr>
          <w:rFonts w:asciiTheme="minorHAnsi" w:hAnsiTheme="minorHAnsi" w:cstheme="minorHAnsi"/>
          <w:sz w:val="22"/>
          <w:szCs w:val="22"/>
        </w:rPr>
      </w:pPr>
      <w:r w:rsidRPr="001065BF">
        <w:rPr>
          <w:rFonts w:asciiTheme="minorHAnsi" w:eastAsia="Calibri" w:hAnsiTheme="minorHAnsi" w:cstheme="minorHAnsi"/>
          <w:b/>
          <w:bCs/>
          <w:color w:val="000000"/>
          <w:sz w:val="22"/>
          <w:szCs w:val="22"/>
        </w:rPr>
        <w:t> </w:t>
      </w:r>
      <w:r w:rsidR="00BD7A2C" w:rsidRPr="001065BF">
        <w:rPr>
          <w:rFonts w:asciiTheme="minorHAnsi" w:eastAsia="Calibri" w:hAnsiTheme="minorHAnsi" w:cstheme="minorHAnsi"/>
          <w:color w:val="000000"/>
          <w:sz w:val="22"/>
          <w:szCs w:val="22"/>
        </w:rPr>
        <w:t xml:space="preserve">Yours </w:t>
      </w:r>
      <w:r w:rsidR="00C60D03" w:rsidRPr="001065BF">
        <w:rPr>
          <w:rFonts w:asciiTheme="minorHAnsi" w:eastAsia="Calibri" w:hAnsiTheme="minorHAnsi" w:cstheme="minorHAnsi"/>
          <w:color w:val="000000"/>
          <w:sz w:val="22"/>
          <w:szCs w:val="22"/>
        </w:rPr>
        <w:t>faithfully</w:t>
      </w:r>
    </w:p>
    <w:p w14:paraId="67D58766" w14:textId="77777777" w:rsidR="00B054AB" w:rsidRPr="001065BF" w:rsidRDefault="00FB250C" w:rsidP="007F5F0A">
      <w:pPr>
        <w:spacing w:after="229"/>
        <w:ind w:right="-567"/>
        <w:jc w:val="both"/>
        <w:rPr>
          <w:rFonts w:asciiTheme="minorHAnsi" w:hAnsiTheme="minorHAnsi" w:cstheme="minorHAnsi"/>
          <w:sz w:val="22"/>
          <w:szCs w:val="22"/>
        </w:rPr>
      </w:pPr>
      <w:r w:rsidRPr="001065BF">
        <w:rPr>
          <w:rFonts w:asciiTheme="minorHAnsi" w:eastAsia="Calibri" w:hAnsiTheme="minorHAnsi" w:cstheme="minorHAnsi"/>
          <w:color w:val="000000"/>
          <w:sz w:val="22"/>
          <w:szCs w:val="22"/>
        </w:rPr>
        <w:t>Matt Brown </w:t>
      </w:r>
    </w:p>
    <w:p w14:paraId="67D58767" w14:textId="77777777" w:rsidR="00B054AB" w:rsidRPr="001065BF" w:rsidRDefault="00FB250C" w:rsidP="007F5F0A">
      <w:pPr>
        <w:spacing w:after="230"/>
        <w:ind w:right="-567"/>
        <w:jc w:val="both"/>
        <w:rPr>
          <w:rFonts w:asciiTheme="minorHAnsi" w:hAnsiTheme="minorHAnsi" w:cstheme="minorHAnsi"/>
          <w:b/>
          <w:bCs/>
          <w:sz w:val="22"/>
          <w:szCs w:val="22"/>
        </w:rPr>
      </w:pPr>
      <w:r w:rsidRPr="001065BF">
        <w:rPr>
          <w:rFonts w:asciiTheme="minorHAnsi" w:eastAsia="Calibri" w:hAnsiTheme="minorHAnsi" w:cstheme="minorHAnsi"/>
          <w:b/>
          <w:bCs/>
          <w:color w:val="000000"/>
          <w:sz w:val="22"/>
          <w:szCs w:val="22"/>
        </w:rPr>
        <w:t>Brown Boots Town Planning </w:t>
      </w:r>
    </w:p>
    <w:p w14:paraId="67D58768" w14:textId="77777777" w:rsidR="00B054AB" w:rsidRPr="001065BF" w:rsidRDefault="00FB250C" w:rsidP="007F5F0A">
      <w:pPr>
        <w:ind w:right="-567"/>
        <w:jc w:val="both"/>
        <w:rPr>
          <w:rFonts w:asciiTheme="minorHAnsi" w:hAnsiTheme="minorHAnsi" w:cstheme="minorHAnsi"/>
          <w:b/>
          <w:bCs/>
          <w:sz w:val="22"/>
          <w:szCs w:val="22"/>
        </w:rPr>
      </w:pPr>
      <w:r w:rsidRPr="001065BF">
        <w:rPr>
          <w:rFonts w:asciiTheme="minorHAnsi" w:eastAsia="Calibri" w:hAnsiTheme="minorHAnsi" w:cstheme="minorHAnsi"/>
          <w:b/>
          <w:bCs/>
          <w:color w:val="000000"/>
          <w:sz w:val="22"/>
          <w:szCs w:val="22"/>
        </w:rPr>
        <w:t>07508 305 766 </w:t>
      </w:r>
    </w:p>
    <w:sectPr w:rsidR="00B054AB" w:rsidRPr="001065BF">
      <w:type w:val="continuous"/>
      <w:pgSz w:w="11906" w:h="16838"/>
      <w:pgMar w:top="1440" w:right="1577"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AB"/>
    <w:rsid w:val="00001001"/>
    <w:rsid w:val="00015E65"/>
    <w:rsid w:val="00017A95"/>
    <w:rsid w:val="00032F3E"/>
    <w:rsid w:val="00072350"/>
    <w:rsid w:val="00083BDC"/>
    <w:rsid w:val="00094B9B"/>
    <w:rsid w:val="000B5E36"/>
    <w:rsid w:val="000D1755"/>
    <w:rsid w:val="000D254D"/>
    <w:rsid w:val="000E1D0A"/>
    <w:rsid w:val="000F0307"/>
    <w:rsid w:val="001065BF"/>
    <w:rsid w:val="0012341F"/>
    <w:rsid w:val="00123CE6"/>
    <w:rsid w:val="00140C40"/>
    <w:rsid w:val="001410B4"/>
    <w:rsid w:val="00147B7E"/>
    <w:rsid w:val="00152BA7"/>
    <w:rsid w:val="00152C2D"/>
    <w:rsid w:val="00153800"/>
    <w:rsid w:val="00157DA1"/>
    <w:rsid w:val="00183BE5"/>
    <w:rsid w:val="00186DE3"/>
    <w:rsid w:val="00191C6F"/>
    <w:rsid w:val="001A6F7B"/>
    <w:rsid w:val="001B4C98"/>
    <w:rsid w:val="001C0996"/>
    <w:rsid w:val="001F4D4D"/>
    <w:rsid w:val="001F7C74"/>
    <w:rsid w:val="00212EF3"/>
    <w:rsid w:val="0023151D"/>
    <w:rsid w:val="00232785"/>
    <w:rsid w:val="00232938"/>
    <w:rsid w:val="00242D00"/>
    <w:rsid w:val="00265B8D"/>
    <w:rsid w:val="002743DE"/>
    <w:rsid w:val="00275D43"/>
    <w:rsid w:val="00283729"/>
    <w:rsid w:val="00291DC1"/>
    <w:rsid w:val="002C6F7C"/>
    <w:rsid w:val="002D7570"/>
    <w:rsid w:val="002E0BA4"/>
    <w:rsid w:val="00305CBF"/>
    <w:rsid w:val="003272C4"/>
    <w:rsid w:val="00366EB5"/>
    <w:rsid w:val="003675C0"/>
    <w:rsid w:val="00370EF2"/>
    <w:rsid w:val="00390171"/>
    <w:rsid w:val="003A0273"/>
    <w:rsid w:val="003A2BD6"/>
    <w:rsid w:val="003A2CA1"/>
    <w:rsid w:val="003D142E"/>
    <w:rsid w:val="003D29C2"/>
    <w:rsid w:val="003D2AB3"/>
    <w:rsid w:val="003D7996"/>
    <w:rsid w:val="003E2225"/>
    <w:rsid w:val="0041456C"/>
    <w:rsid w:val="00426BF4"/>
    <w:rsid w:val="00435918"/>
    <w:rsid w:val="0044778F"/>
    <w:rsid w:val="004714D2"/>
    <w:rsid w:val="0047350D"/>
    <w:rsid w:val="00484A89"/>
    <w:rsid w:val="00493FD6"/>
    <w:rsid w:val="004941FD"/>
    <w:rsid w:val="004A5438"/>
    <w:rsid w:val="00501427"/>
    <w:rsid w:val="005049D6"/>
    <w:rsid w:val="00511168"/>
    <w:rsid w:val="0051150B"/>
    <w:rsid w:val="00516C73"/>
    <w:rsid w:val="00520B8E"/>
    <w:rsid w:val="00522854"/>
    <w:rsid w:val="005268EF"/>
    <w:rsid w:val="00534B4A"/>
    <w:rsid w:val="00581FF6"/>
    <w:rsid w:val="005A3BDA"/>
    <w:rsid w:val="005A568B"/>
    <w:rsid w:val="005A5E67"/>
    <w:rsid w:val="005A71B9"/>
    <w:rsid w:val="005B65D9"/>
    <w:rsid w:val="005B7108"/>
    <w:rsid w:val="005D2C55"/>
    <w:rsid w:val="005D7C24"/>
    <w:rsid w:val="005E18F0"/>
    <w:rsid w:val="005E5DA3"/>
    <w:rsid w:val="00607A09"/>
    <w:rsid w:val="00614BE5"/>
    <w:rsid w:val="00622F1E"/>
    <w:rsid w:val="00627DEB"/>
    <w:rsid w:val="00654B51"/>
    <w:rsid w:val="00657D16"/>
    <w:rsid w:val="006635B7"/>
    <w:rsid w:val="0066391A"/>
    <w:rsid w:val="00665763"/>
    <w:rsid w:val="00673BD7"/>
    <w:rsid w:val="0067510E"/>
    <w:rsid w:val="00685872"/>
    <w:rsid w:val="0069440C"/>
    <w:rsid w:val="00696182"/>
    <w:rsid w:val="006C26FE"/>
    <w:rsid w:val="006E03F8"/>
    <w:rsid w:val="006E057D"/>
    <w:rsid w:val="00751AA7"/>
    <w:rsid w:val="00770A3C"/>
    <w:rsid w:val="007826BB"/>
    <w:rsid w:val="00782CA2"/>
    <w:rsid w:val="007873CA"/>
    <w:rsid w:val="0078760D"/>
    <w:rsid w:val="00791081"/>
    <w:rsid w:val="00797EE3"/>
    <w:rsid w:val="007B24D4"/>
    <w:rsid w:val="007B6181"/>
    <w:rsid w:val="007E204D"/>
    <w:rsid w:val="007E27A1"/>
    <w:rsid w:val="007E542E"/>
    <w:rsid w:val="007E6FB8"/>
    <w:rsid w:val="007F5F0A"/>
    <w:rsid w:val="007F77D3"/>
    <w:rsid w:val="00801F16"/>
    <w:rsid w:val="00812654"/>
    <w:rsid w:val="00827C79"/>
    <w:rsid w:val="00832F1D"/>
    <w:rsid w:val="008344DD"/>
    <w:rsid w:val="00840B67"/>
    <w:rsid w:val="00854613"/>
    <w:rsid w:val="00881F37"/>
    <w:rsid w:val="00896172"/>
    <w:rsid w:val="008A08B1"/>
    <w:rsid w:val="008A41FB"/>
    <w:rsid w:val="008B3763"/>
    <w:rsid w:val="008C0252"/>
    <w:rsid w:val="008C5C03"/>
    <w:rsid w:val="008C7854"/>
    <w:rsid w:val="00910634"/>
    <w:rsid w:val="00927D45"/>
    <w:rsid w:val="00940FCA"/>
    <w:rsid w:val="00951984"/>
    <w:rsid w:val="009533B9"/>
    <w:rsid w:val="009552B9"/>
    <w:rsid w:val="0096474D"/>
    <w:rsid w:val="0097009D"/>
    <w:rsid w:val="00986F92"/>
    <w:rsid w:val="00993C49"/>
    <w:rsid w:val="009A361E"/>
    <w:rsid w:val="009C2027"/>
    <w:rsid w:val="009E2128"/>
    <w:rsid w:val="009E4236"/>
    <w:rsid w:val="00A070F0"/>
    <w:rsid w:val="00A17B7B"/>
    <w:rsid w:val="00A34894"/>
    <w:rsid w:val="00A478AA"/>
    <w:rsid w:val="00A51E94"/>
    <w:rsid w:val="00A60F3E"/>
    <w:rsid w:val="00A6328F"/>
    <w:rsid w:val="00A7496F"/>
    <w:rsid w:val="00A74BF3"/>
    <w:rsid w:val="00A75886"/>
    <w:rsid w:val="00A77C8A"/>
    <w:rsid w:val="00A80FC9"/>
    <w:rsid w:val="00A86437"/>
    <w:rsid w:val="00A9386E"/>
    <w:rsid w:val="00A9691A"/>
    <w:rsid w:val="00AB0418"/>
    <w:rsid w:val="00AC5350"/>
    <w:rsid w:val="00AF64F9"/>
    <w:rsid w:val="00B054AB"/>
    <w:rsid w:val="00B14C0B"/>
    <w:rsid w:val="00B464CF"/>
    <w:rsid w:val="00B50AB0"/>
    <w:rsid w:val="00BB0DD8"/>
    <w:rsid w:val="00BB453F"/>
    <w:rsid w:val="00BB7E84"/>
    <w:rsid w:val="00BC7E0D"/>
    <w:rsid w:val="00BD7A2C"/>
    <w:rsid w:val="00BE196D"/>
    <w:rsid w:val="00C0076E"/>
    <w:rsid w:val="00C071D4"/>
    <w:rsid w:val="00C07270"/>
    <w:rsid w:val="00C0752F"/>
    <w:rsid w:val="00C10612"/>
    <w:rsid w:val="00C22AE1"/>
    <w:rsid w:val="00C509D9"/>
    <w:rsid w:val="00C5413A"/>
    <w:rsid w:val="00C60D03"/>
    <w:rsid w:val="00C7161A"/>
    <w:rsid w:val="00C734A8"/>
    <w:rsid w:val="00CB2D52"/>
    <w:rsid w:val="00CC4894"/>
    <w:rsid w:val="00CE798E"/>
    <w:rsid w:val="00D13A45"/>
    <w:rsid w:val="00D1761B"/>
    <w:rsid w:val="00D337DA"/>
    <w:rsid w:val="00D425E8"/>
    <w:rsid w:val="00D47547"/>
    <w:rsid w:val="00D53042"/>
    <w:rsid w:val="00D60014"/>
    <w:rsid w:val="00D933FF"/>
    <w:rsid w:val="00D93515"/>
    <w:rsid w:val="00DA2E05"/>
    <w:rsid w:val="00DC24A2"/>
    <w:rsid w:val="00DC51BD"/>
    <w:rsid w:val="00DC5861"/>
    <w:rsid w:val="00DD17D9"/>
    <w:rsid w:val="00DD5DBF"/>
    <w:rsid w:val="00DE36D9"/>
    <w:rsid w:val="00DE5316"/>
    <w:rsid w:val="00DF6F35"/>
    <w:rsid w:val="00E00E2D"/>
    <w:rsid w:val="00E028DB"/>
    <w:rsid w:val="00E06003"/>
    <w:rsid w:val="00E06E8E"/>
    <w:rsid w:val="00E1743D"/>
    <w:rsid w:val="00E202B7"/>
    <w:rsid w:val="00E33B96"/>
    <w:rsid w:val="00E3516C"/>
    <w:rsid w:val="00E470B6"/>
    <w:rsid w:val="00E53E88"/>
    <w:rsid w:val="00E55237"/>
    <w:rsid w:val="00E64C72"/>
    <w:rsid w:val="00E71CC3"/>
    <w:rsid w:val="00E862DA"/>
    <w:rsid w:val="00EB2A20"/>
    <w:rsid w:val="00EB494D"/>
    <w:rsid w:val="00EB68C5"/>
    <w:rsid w:val="00EC3232"/>
    <w:rsid w:val="00ED00FF"/>
    <w:rsid w:val="00ED4CA8"/>
    <w:rsid w:val="00EE0D98"/>
    <w:rsid w:val="00F00D50"/>
    <w:rsid w:val="00F1564B"/>
    <w:rsid w:val="00F226FA"/>
    <w:rsid w:val="00F2441D"/>
    <w:rsid w:val="00F258E6"/>
    <w:rsid w:val="00F324A2"/>
    <w:rsid w:val="00F410CE"/>
    <w:rsid w:val="00F45878"/>
    <w:rsid w:val="00F6007E"/>
    <w:rsid w:val="00F6242E"/>
    <w:rsid w:val="00F62F64"/>
    <w:rsid w:val="00F6735D"/>
    <w:rsid w:val="00F81078"/>
    <w:rsid w:val="00F90D56"/>
    <w:rsid w:val="00FA4A74"/>
    <w:rsid w:val="00FA6751"/>
    <w:rsid w:val="00FB250C"/>
    <w:rsid w:val="00FD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8730"/>
  <w15:docId w15:val="{894F7EB1-0555-46D9-AFF3-15EF917D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009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426BF4"/>
  </w:style>
  <w:style w:type="character" w:customStyle="1" w:styleId="divider1">
    <w:name w:val="divider1"/>
    <w:basedOn w:val="DefaultParagraphFont"/>
    <w:rsid w:val="00426BF4"/>
  </w:style>
  <w:style w:type="character" w:customStyle="1" w:styleId="description">
    <w:name w:val="description"/>
    <w:basedOn w:val="DefaultParagraphFont"/>
    <w:rsid w:val="00426BF4"/>
  </w:style>
  <w:style w:type="character" w:customStyle="1" w:styleId="divider2">
    <w:name w:val="divider2"/>
    <w:basedOn w:val="DefaultParagraphFont"/>
    <w:rsid w:val="00426BF4"/>
  </w:style>
  <w:style w:type="character" w:customStyle="1" w:styleId="address">
    <w:name w:val="address"/>
    <w:basedOn w:val="DefaultParagraphFont"/>
    <w:rsid w:val="00426BF4"/>
  </w:style>
  <w:style w:type="table" w:styleId="TableGrid">
    <w:name w:val="Table Grid"/>
    <w:basedOn w:val="TableNormal"/>
    <w:uiPriority w:val="39"/>
    <w:rsid w:val="00F2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78AA"/>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97009D"/>
    <w:rPr>
      <w:b/>
      <w:bCs/>
      <w:kern w:val="36"/>
      <w:sz w:val="48"/>
      <w:szCs w:val="48"/>
    </w:rPr>
  </w:style>
  <w:style w:type="character" w:styleId="Hyperlink">
    <w:name w:val="Hyperlink"/>
    <w:basedOn w:val="DefaultParagraphFont"/>
    <w:uiPriority w:val="99"/>
    <w:unhideWhenUsed/>
    <w:rsid w:val="00501427"/>
    <w:rPr>
      <w:color w:val="0563C1" w:themeColor="hyperlink"/>
      <w:u w:val="single"/>
    </w:rPr>
  </w:style>
  <w:style w:type="character" w:styleId="UnresolvedMention">
    <w:name w:val="Unresolved Mention"/>
    <w:basedOn w:val="DefaultParagraphFont"/>
    <w:uiPriority w:val="99"/>
    <w:semiHidden/>
    <w:unhideWhenUsed/>
    <w:rsid w:val="0050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90199">
      <w:bodyDiv w:val="1"/>
      <w:marLeft w:val="0"/>
      <w:marRight w:val="0"/>
      <w:marTop w:val="0"/>
      <w:marBottom w:val="0"/>
      <w:divBdr>
        <w:top w:val="none" w:sz="0" w:space="0" w:color="auto"/>
        <w:left w:val="none" w:sz="0" w:space="0" w:color="auto"/>
        <w:bottom w:val="none" w:sz="0" w:space="0" w:color="auto"/>
        <w:right w:val="none" w:sz="0" w:space="0" w:color="auto"/>
      </w:divBdr>
    </w:div>
    <w:div w:id="176384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gurek.co.uk/panel-retro-25/"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Matt Brown</cp:lastModifiedBy>
  <cp:revision>3</cp:revision>
  <cp:lastPrinted>2024-02-23T11:34:00Z</cp:lastPrinted>
  <dcterms:created xsi:type="dcterms:W3CDTF">2024-02-23T13:53:00Z</dcterms:created>
  <dcterms:modified xsi:type="dcterms:W3CDTF">2024-02-23T14:27:00Z</dcterms:modified>
</cp:coreProperties>
</file>