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3709" w:rsidR="00AA5E82" w:rsidP="00836139" w:rsidRDefault="00501620" w14:paraId="52BB0D7B" w14:textId="39280418">
      <w:pPr>
        <w:spacing w:after="160" w:line="259" w:lineRule="auto"/>
        <w:jc w:val="center"/>
        <w:rPr>
          <w:rFonts w:ascii="Verdana" w:hAnsi="Verdana" w:eastAsiaTheme="minorHAnsi"/>
          <w:b/>
          <w:sz w:val="32"/>
          <w:szCs w:val="32"/>
          <w:u w:val="double"/>
        </w:rPr>
      </w:pPr>
      <w:r w:rsidRPr="001F3709">
        <w:rPr>
          <w:rFonts w:ascii="Verdana" w:hAnsi="Verdana" w:eastAsiaTheme="minorHAnsi"/>
          <w:b/>
          <w:sz w:val="32"/>
          <w:szCs w:val="32"/>
          <w:u w:val="double"/>
        </w:rPr>
        <w:t>PLANNING STATEMENT</w:t>
      </w:r>
    </w:p>
    <w:p w:rsidRPr="001F3709" w:rsidR="008D1F02" w:rsidP="00836139" w:rsidRDefault="008D1F02" w14:paraId="66F0F5B5" w14:textId="77777777">
      <w:pPr>
        <w:spacing w:after="160" w:line="259" w:lineRule="auto"/>
        <w:jc w:val="center"/>
        <w:rPr>
          <w:rFonts w:ascii="Verdana" w:hAnsi="Verdana" w:eastAsiaTheme="minorHAnsi"/>
          <w:b/>
          <w:sz w:val="32"/>
          <w:szCs w:val="32"/>
          <w:u w:val="single"/>
        </w:rPr>
      </w:pPr>
    </w:p>
    <w:p w:rsidR="00DD1F6D" w:rsidP="566F5AB2" w:rsidRDefault="00972FDF" w14:paraId="4A706F67" w14:textId="5E455332">
      <w:pPr>
        <w:spacing w:after="160" w:line="259" w:lineRule="auto"/>
        <w:jc w:val="center"/>
        <w:rPr>
          <w:rFonts w:ascii="Verdana" w:hAnsi="Verdana" w:eastAsia="Calibri" w:eastAsiaTheme="minorAscii"/>
          <w:b w:val="1"/>
          <w:bCs w:val="1"/>
          <w:sz w:val="32"/>
          <w:szCs w:val="32"/>
          <w:u w:val="single"/>
        </w:rPr>
      </w:pPr>
      <w:r w:rsidRPr="566F5AB2" w:rsidR="51CA1601">
        <w:rPr>
          <w:rFonts w:ascii="Verdana" w:hAnsi="Verdana" w:eastAsia="Calibri" w:eastAsiaTheme="minorAscii"/>
          <w:b w:val="1"/>
          <w:bCs w:val="1"/>
          <w:sz w:val="32"/>
          <w:szCs w:val="32"/>
          <w:u w:val="single"/>
        </w:rPr>
        <w:t>CARDIFF</w:t>
      </w:r>
      <w:r w:rsidRPr="566F5AB2" w:rsidR="7CD097DE">
        <w:rPr>
          <w:rFonts w:ascii="Verdana" w:hAnsi="Verdana" w:eastAsia="Calibri" w:eastAsiaTheme="minorAscii"/>
          <w:b w:val="1"/>
          <w:bCs w:val="1"/>
          <w:sz w:val="32"/>
          <w:szCs w:val="32"/>
          <w:u w:val="single"/>
        </w:rPr>
        <w:t xml:space="preserve"> </w:t>
      </w:r>
      <w:r w:rsidRPr="566F5AB2" w:rsidR="16E4D05B">
        <w:rPr>
          <w:rFonts w:ascii="Verdana" w:hAnsi="Verdana" w:eastAsia="Calibri" w:eastAsiaTheme="minorAscii"/>
          <w:b w:val="1"/>
          <w:bCs w:val="1"/>
          <w:sz w:val="32"/>
          <w:szCs w:val="32"/>
          <w:u w:val="single"/>
        </w:rPr>
        <w:t>COUNCIL</w:t>
      </w:r>
    </w:p>
    <w:p w:rsidRPr="005639BA" w:rsidR="001F3709" w:rsidP="00836139" w:rsidRDefault="001F3709" w14:paraId="58268C12" w14:textId="34BD7750">
      <w:pPr>
        <w:spacing w:after="160" w:line="259" w:lineRule="auto"/>
        <w:jc w:val="center"/>
        <w:rPr>
          <w:rFonts w:ascii="Verdana" w:hAnsi="Verdana" w:eastAsiaTheme="minorHAnsi"/>
          <w:b/>
          <w:sz w:val="22"/>
          <w:szCs w:val="22"/>
          <w:u w:val="single"/>
        </w:rPr>
      </w:pPr>
    </w:p>
    <w:p w:rsidRPr="0091548E" w:rsidR="0091548E" w:rsidP="00836139" w:rsidRDefault="00B07A05" w14:paraId="3426A4D7" w14:textId="77777777">
      <w:pPr>
        <w:spacing w:after="160" w:line="259" w:lineRule="auto"/>
        <w:jc w:val="center"/>
        <w:rPr>
          <w:rFonts w:ascii="Verdana" w:hAnsi="Verdana" w:cs="Arial" w:eastAsiaTheme="minorHAnsi"/>
          <w:b/>
          <w:bCs/>
          <w:u w:val="single"/>
          <w:lang w:val="en-GB"/>
        </w:rPr>
      </w:pPr>
      <w:r w:rsidRPr="0091548E">
        <w:rPr>
          <w:rFonts w:ascii="Verdana" w:hAnsi="Verdana" w:cs="Arial" w:eastAsiaTheme="minorHAnsi"/>
          <w:b/>
          <w:bCs/>
          <w:u w:val="single"/>
          <w:lang w:val="en-GB"/>
        </w:rPr>
        <w:t xml:space="preserve">BUS SHELTER </w:t>
      </w:r>
      <w:r w:rsidRPr="0091548E" w:rsidR="00E27D8C">
        <w:rPr>
          <w:rFonts w:ascii="Verdana" w:hAnsi="Verdana" w:cs="Arial" w:eastAsiaTheme="minorHAnsi"/>
          <w:b/>
          <w:bCs/>
          <w:u w:val="single"/>
          <w:lang w:val="en-GB"/>
        </w:rPr>
        <w:t xml:space="preserve">ADVERTISING </w:t>
      </w:r>
      <w:r w:rsidRPr="0091548E" w:rsidR="002B4278">
        <w:rPr>
          <w:rFonts w:ascii="Verdana" w:hAnsi="Verdana" w:cs="Arial" w:eastAsiaTheme="minorHAnsi"/>
          <w:b/>
          <w:bCs/>
          <w:u w:val="single"/>
          <w:lang w:val="en-GB"/>
        </w:rPr>
        <w:t>and</w:t>
      </w:r>
    </w:p>
    <w:p w:rsidRPr="0091548E" w:rsidR="0091548E" w:rsidP="00836139" w:rsidRDefault="002B4278" w14:paraId="20DB0C73" w14:textId="77777777">
      <w:pPr>
        <w:spacing w:after="160" w:line="259" w:lineRule="auto"/>
        <w:jc w:val="center"/>
        <w:rPr>
          <w:rFonts w:ascii="Verdana" w:hAnsi="Verdana" w:cs="Arial" w:eastAsiaTheme="minorHAnsi"/>
          <w:b/>
          <w:bCs/>
          <w:u w:val="single"/>
          <w:lang w:val="en-GB"/>
        </w:rPr>
      </w:pPr>
      <w:r w:rsidRPr="0091548E">
        <w:rPr>
          <w:rFonts w:ascii="Verdana" w:hAnsi="Verdana" w:cs="Arial" w:eastAsiaTheme="minorHAnsi"/>
          <w:b/>
          <w:bCs/>
          <w:u w:val="single"/>
          <w:lang w:val="en-GB"/>
        </w:rPr>
        <w:t xml:space="preserve">FREE-STANDING </w:t>
      </w:r>
      <w:r w:rsidRPr="0091548E" w:rsidR="00B07A05">
        <w:rPr>
          <w:rFonts w:ascii="Verdana" w:hAnsi="Verdana" w:cs="Arial" w:eastAsiaTheme="minorHAnsi"/>
          <w:b/>
          <w:bCs/>
          <w:u w:val="single"/>
          <w:lang w:val="en-GB"/>
        </w:rPr>
        <w:t>ADVERTISING</w:t>
      </w:r>
      <w:r w:rsidRPr="0091548E" w:rsidR="00E27D8C">
        <w:rPr>
          <w:rFonts w:ascii="Verdana" w:hAnsi="Verdana" w:cs="Arial" w:eastAsiaTheme="minorHAnsi"/>
          <w:b/>
          <w:bCs/>
          <w:u w:val="single"/>
          <w:lang w:val="en-GB"/>
        </w:rPr>
        <w:t xml:space="preserve"> UNIT</w:t>
      </w:r>
    </w:p>
    <w:p w:rsidRPr="005639BA" w:rsidR="00883E99" w:rsidP="00836139" w:rsidRDefault="00B07A05" w14:paraId="6396F966" w14:textId="7C569690">
      <w:pPr>
        <w:spacing w:after="160" w:line="259" w:lineRule="auto"/>
        <w:jc w:val="center"/>
        <w:rPr>
          <w:rFonts w:ascii="Verdana" w:hAnsi="Verdana" w:eastAsiaTheme="minorHAnsi"/>
          <w:b/>
          <w:sz w:val="22"/>
          <w:szCs w:val="22"/>
          <w:u w:val="single"/>
        </w:rPr>
      </w:pPr>
      <w:r w:rsidRPr="0091548E">
        <w:rPr>
          <w:rFonts w:ascii="Verdana" w:hAnsi="Verdana" w:cs="Arial" w:eastAsiaTheme="minorHAnsi"/>
          <w:b/>
          <w:bCs/>
          <w:u w:val="single"/>
          <w:lang w:val="en-GB"/>
        </w:rPr>
        <w:t>CONCESSION</w:t>
      </w:r>
    </w:p>
    <w:p w:rsidRPr="005639BA" w:rsidR="00C679CC" w:rsidP="00836139" w:rsidRDefault="00C679CC" w14:paraId="23E097CA" w14:textId="7A2BE4DD">
      <w:pPr>
        <w:spacing w:after="160" w:line="259" w:lineRule="auto"/>
        <w:jc w:val="center"/>
        <w:rPr>
          <w:rFonts w:ascii="Verdana" w:hAnsi="Verdana" w:eastAsiaTheme="minorHAnsi"/>
          <w:b/>
          <w:sz w:val="22"/>
          <w:szCs w:val="22"/>
          <w:u w:val="single"/>
        </w:rPr>
      </w:pPr>
    </w:p>
    <w:p w:rsidRPr="005639BA" w:rsidR="001C07B4" w:rsidP="00836139" w:rsidRDefault="001C07B4" w14:paraId="52BB0D80" w14:textId="77777777">
      <w:pPr>
        <w:tabs>
          <w:tab w:val="left" w:pos="142"/>
        </w:tabs>
        <w:spacing w:line="276" w:lineRule="auto"/>
        <w:jc w:val="center"/>
        <w:rPr>
          <w:rFonts w:ascii="Verdana" w:hAnsi="Verdana" w:cs="Tahoma"/>
          <w:b/>
          <w:bCs/>
          <w:sz w:val="22"/>
          <w:szCs w:val="22"/>
          <w:u w:val="single"/>
        </w:rPr>
      </w:pPr>
      <w:r w:rsidRPr="005639BA">
        <w:rPr>
          <w:rFonts w:ascii="Verdana" w:hAnsi="Verdana" w:cs="Tahoma"/>
          <w:b/>
          <w:bCs/>
          <w:sz w:val="22"/>
          <w:szCs w:val="22"/>
          <w:u w:val="single"/>
        </w:rPr>
        <w:t>TOWN AND COUNTRY PLANNING ACT 1990</w:t>
      </w:r>
    </w:p>
    <w:p w:rsidRPr="005639BA" w:rsidR="001C07B4" w:rsidP="00836139" w:rsidRDefault="001C07B4" w14:paraId="52BB0D81" w14:textId="71D9CED9">
      <w:pPr>
        <w:spacing w:line="276" w:lineRule="auto"/>
        <w:jc w:val="center"/>
        <w:rPr>
          <w:rFonts w:ascii="Verdana" w:hAnsi="Verdana" w:cs="Tahoma"/>
          <w:b/>
          <w:bCs/>
          <w:sz w:val="22"/>
          <w:szCs w:val="22"/>
          <w:u w:val="single"/>
        </w:rPr>
      </w:pPr>
      <w:r w:rsidRPr="005639BA">
        <w:rPr>
          <w:rFonts w:ascii="Verdana" w:hAnsi="Verdana" w:cs="Tahoma"/>
          <w:b/>
          <w:bCs/>
          <w:sz w:val="22"/>
          <w:szCs w:val="22"/>
          <w:u w:val="single"/>
        </w:rPr>
        <w:t>TOWN AND COUNTRY PLANNING (CONTROL OF ADVERTISEMENTS) (ENGLAND) REGULATIONS 2007</w:t>
      </w:r>
    </w:p>
    <w:p w:rsidRPr="005639BA" w:rsidR="008D1F02" w:rsidP="00836139" w:rsidRDefault="008D1F02" w14:paraId="1EBD491F" w14:textId="77777777">
      <w:pPr>
        <w:spacing w:after="160" w:line="259" w:lineRule="auto"/>
        <w:jc w:val="center"/>
        <w:rPr>
          <w:rFonts w:ascii="Verdana" w:hAnsi="Verdana"/>
          <w:b/>
          <w:bCs/>
          <w:color w:val="000000" w:themeColor="text1"/>
          <w:sz w:val="22"/>
          <w:szCs w:val="22"/>
        </w:rPr>
      </w:pPr>
    </w:p>
    <w:p w:rsidRPr="005639BA" w:rsidR="00566ACC" w:rsidP="00836139" w:rsidRDefault="00A12BEF" w14:paraId="4AF2E3A4" w14:textId="46FD28B0">
      <w:pPr>
        <w:spacing w:after="160" w:line="259" w:lineRule="auto"/>
        <w:jc w:val="center"/>
        <w:rPr>
          <w:rFonts w:ascii="Verdana" w:hAnsi="Verdana"/>
          <w:b/>
          <w:bCs/>
          <w:color w:val="000000" w:themeColor="text1"/>
          <w:sz w:val="22"/>
          <w:szCs w:val="22"/>
        </w:rPr>
      </w:pPr>
      <w:r>
        <w:rPr>
          <w:rFonts w:ascii="Verdana" w:hAnsi="Verdana"/>
          <w:b/>
          <w:bCs/>
          <w:color w:val="000000" w:themeColor="text1"/>
          <w:sz w:val="22"/>
          <w:szCs w:val="22"/>
        </w:rPr>
        <w:t>April</w:t>
      </w:r>
      <w:r w:rsidRPr="005639BA" w:rsidR="00A70C60">
        <w:rPr>
          <w:rFonts w:ascii="Verdana" w:hAnsi="Verdana"/>
          <w:b/>
          <w:bCs/>
          <w:color w:val="000000" w:themeColor="text1"/>
          <w:sz w:val="22"/>
          <w:szCs w:val="22"/>
        </w:rPr>
        <w:t xml:space="preserve"> </w:t>
      </w:r>
      <w:r w:rsidRPr="005639BA" w:rsidR="00566ACC">
        <w:rPr>
          <w:rFonts w:ascii="Verdana" w:hAnsi="Verdana"/>
          <w:b/>
          <w:bCs/>
          <w:color w:val="000000" w:themeColor="text1"/>
          <w:sz w:val="22"/>
          <w:szCs w:val="22"/>
        </w:rPr>
        <w:t>202</w:t>
      </w:r>
      <w:r w:rsidRPr="005639BA" w:rsidR="005639BA">
        <w:rPr>
          <w:rFonts w:ascii="Verdana" w:hAnsi="Verdana"/>
          <w:b/>
          <w:bCs/>
          <w:color w:val="000000" w:themeColor="text1"/>
          <w:sz w:val="22"/>
          <w:szCs w:val="22"/>
        </w:rPr>
        <w:t>2</w:t>
      </w:r>
    </w:p>
    <w:p w:rsidRPr="005A6CFE" w:rsidR="00A12BEF" w:rsidP="00780A70" w:rsidRDefault="00A12BEF" w14:paraId="3A47E981" w14:textId="77777777">
      <w:pPr>
        <w:ind w:left="567" w:right="-331" w:hanging="567"/>
        <w:rPr>
          <w:rFonts w:ascii="Verdana" w:hAnsi="Verdana" w:cs="Tahoma"/>
          <w:b/>
          <w:bCs/>
          <w:sz w:val="22"/>
          <w:szCs w:val="22"/>
        </w:rPr>
      </w:pPr>
    </w:p>
    <w:p w:rsidRPr="005A6CFE" w:rsidR="001C07B4" w:rsidP="004326F1" w:rsidRDefault="00F85F13" w14:paraId="52BB0D83" w14:textId="5A4997E1">
      <w:pPr>
        <w:ind w:left="567" w:hanging="567"/>
        <w:rPr>
          <w:rFonts w:ascii="Verdana" w:hAnsi="Verdana"/>
          <w:b/>
          <w:bCs/>
          <w:sz w:val="22"/>
          <w:szCs w:val="22"/>
        </w:rPr>
      </w:pPr>
      <w:r w:rsidRPr="005A6CFE">
        <w:rPr>
          <w:rFonts w:ascii="Verdana" w:hAnsi="Verdana"/>
          <w:b/>
          <w:bCs/>
          <w:sz w:val="22"/>
          <w:szCs w:val="22"/>
        </w:rPr>
        <w:t>1.</w:t>
      </w:r>
      <w:r w:rsidRPr="005A6CFE">
        <w:rPr>
          <w:rFonts w:ascii="Verdana" w:hAnsi="Verdana"/>
          <w:b/>
          <w:bCs/>
          <w:sz w:val="22"/>
          <w:szCs w:val="22"/>
        </w:rPr>
        <w:tab/>
      </w:r>
      <w:r w:rsidRPr="005A6CFE" w:rsidR="001C07B4">
        <w:rPr>
          <w:rFonts w:ascii="Verdana" w:hAnsi="Verdana"/>
          <w:b/>
          <w:bCs/>
          <w:sz w:val="22"/>
          <w:szCs w:val="22"/>
        </w:rPr>
        <w:t>B</w:t>
      </w:r>
      <w:r w:rsidRPr="005A6CFE" w:rsidR="001A3C8A">
        <w:rPr>
          <w:rFonts w:ascii="Verdana" w:hAnsi="Verdana"/>
          <w:b/>
          <w:bCs/>
          <w:sz w:val="22"/>
          <w:szCs w:val="22"/>
        </w:rPr>
        <w:t>ACKGROUND</w:t>
      </w:r>
    </w:p>
    <w:p w:rsidRPr="005A6CFE" w:rsidR="00F97BF1" w:rsidP="004326F1" w:rsidRDefault="00F97BF1" w14:paraId="776A9248" w14:textId="77777777">
      <w:pPr>
        <w:ind w:left="567" w:hanging="567"/>
        <w:jc w:val="both"/>
        <w:rPr>
          <w:rFonts w:ascii="Verdana" w:hAnsi="Verdana" w:cs="Arial"/>
          <w:sz w:val="22"/>
          <w:szCs w:val="22"/>
          <w:shd w:val="clear" w:color="auto" w:fill="FFFFFF"/>
        </w:rPr>
      </w:pPr>
    </w:p>
    <w:p w:rsidRPr="005A6CFE" w:rsidR="006E1E1E" w:rsidP="566F5AB2" w:rsidRDefault="00D42A1D" w14:paraId="24B44E85" w14:textId="5894D44D">
      <w:pPr>
        <w:ind w:left="567" w:hanging="567"/>
        <w:jc w:val="both"/>
        <w:rPr>
          <w:rFonts w:ascii="Verdana" w:hAnsi="Verdana" w:eastAsia="Calibri" w:eastAsiaTheme="minorAscii"/>
          <w:sz w:val="22"/>
          <w:szCs w:val="22"/>
        </w:rPr>
      </w:pPr>
      <w:r w:rsidRPr="005A6CFE" w:rsidR="32BBA9EC">
        <w:rPr>
          <w:rFonts w:ascii="Verdana" w:hAnsi="Verdana"/>
          <w:sz w:val="22"/>
          <w:szCs w:val="22"/>
          <w:shd w:val="clear" w:color="auto" w:fill="FFFFFF"/>
        </w:rPr>
        <w:t>1.1</w:t>
      </w:r>
      <w:r w:rsidRPr="005A6CFE">
        <w:rPr>
          <w:rFonts w:ascii="Verdana" w:hAnsi="Verdana"/>
          <w:sz w:val="22"/>
          <w:szCs w:val="22"/>
          <w:shd w:val="clear" w:color="auto" w:fill="FFFFFF"/>
        </w:rPr>
        <w:tab/>
      </w:r>
      <w:r w:rsidRPr="00AF1F4C" w:rsidR="59CF55B1">
        <w:rPr>
          <w:rFonts w:ascii="Verdana" w:hAnsi="Verdana"/>
          <w:sz w:val="22"/>
          <w:szCs w:val="22"/>
          <w:shd w:val="clear" w:color="auto" w:fill="FFFFFF"/>
        </w:rPr>
        <w:t xml:space="preserve">Following </w:t>
      </w:r>
      <w:r w:rsidRPr="00AF1F4C" w:rsidR="59CF55B1">
        <w:rPr>
          <w:rFonts w:ascii="Verdana" w:hAnsi="Verdana"/>
          <w:sz w:val="22"/>
          <w:szCs w:val="22"/>
        </w:rPr>
        <w:t>a competitive tender process</w:t>
      </w:r>
      <w:r w:rsidRPr="005A6CFE" w:rsidR="25A58BAE">
        <w:rPr>
          <w:rFonts w:ascii="Verdana" w:hAnsi="Verdana"/>
          <w:sz w:val="22"/>
          <w:szCs w:val="22"/>
        </w:rPr>
        <w:t xml:space="preserve">, </w:t>
      </w:r>
      <w:r w:rsidRPr="005A6CFE" w:rsidR="5C0F39FD">
        <w:rPr>
          <w:rFonts w:ascii="Verdana" w:hAnsi="Verdana"/>
          <w:sz w:val="22"/>
          <w:szCs w:val="22"/>
        </w:rPr>
        <w:t>the</w:t>
      </w:r>
      <w:r w:rsidRPr="005A6CFE" w:rsidR="7DAD223B">
        <w:rPr>
          <w:rFonts w:ascii="Verdana" w:hAnsi="Verdana"/>
          <w:sz w:val="22"/>
          <w:szCs w:val="22"/>
          <w:shd w:val="clear" w:color="auto" w:fill="FFFFFF"/>
        </w:rPr>
        <w:t xml:space="preserve"> applicant</w:t>
      </w:r>
      <w:r w:rsidRPr="005A6CFE" w:rsidR="74475001">
        <w:rPr>
          <w:rFonts w:ascii="Verdana" w:hAnsi="Verdana"/>
          <w:sz w:val="22"/>
          <w:szCs w:val="22"/>
          <w:shd w:val="clear" w:color="auto" w:fill="FFFFFF"/>
        </w:rPr>
        <w:t>,</w:t>
      </w:r>
      <w:r w:rsidRPr="005A6CFE" w:rsidR="7DAD223B">
        <w:rPr>
          <w:rFonts w:ascii="Verdana" w:hAnsi="Verdana"/>
          <w:sz w:val="22"/>
          <w:szCs w:val="22"/>
          <w:shd w:val="clear" w:color="auto" w:fill="FFFFFF"/>
        </w:rPr>
        <w:t xml:space="preserve"> Clear Channel UK</w:t>
      </w:r>
      <w:r w:rsidRPr="005A6CFE" w:rsidR="74475001">
        <w:rPr>
          <w:rFonts w:ascii="Verdana" w:hAnsi="Verdana"/>
          <w:sz w:val="22"/>
          <w:szCs w:val="22"/>
          <w:shd w:val="clear" w:color="auto" w:fill="FFFFFF"/>
        </w:rPr>
        <w:t xml:space="preserve"> (CCUK)</w:t>
      </w:r>
      <w:r w:rsidRPr="005A6CFE" w:rsidR="7DAD223B">
        <w:rPr>
          <w:rFonts w:ascii="Verdana" w:hAnsi="Verdana"/>
          <w:sz w:val="22"/>
          <w:szCs w:val="22"/>
          <w:shd w:val="clear" w:color="auto" w:fill="FFFFFF"/>
        </w:rPr>
        <w:t xml:space="preserve"> </w:t>
      </w:r>
      <w:r w:rsidRPr="005A6CFE" w:rsidR="38E716B7">
        <w:rPr>
          <w:rFonts w:ascii="Verdana" w:hAnsi="Verdana"/>
          <w:sz w:val="22"/>
          <w:szCs w:val="22"/>
          <w:shd w:val="clear" w:color="auto" w:fill="FFFFFF"/>
        </w:rPr>
        <w:t>has been</w:t>
      </w:r>
      <w:r w:rsidRPr="005A6CFE" w:rsidR="1F982E65">
        <w:rPr>
          <w:rFonts w:ascii="Verdana" w:hAnsi="Verdana"/>
          <w:sz w:val="22"/>
          <w:szCs w:val="22"/>
          <w:shd w:val="clear" w:color="auto" w:fill="FFFFFF"/>
        </w:rPr>
        <w:t xml:space="preserve"> awarded </w:t>
      </w:r>
      <w:r w:rsidRPr="005A6CFE" w:rsidR="2E0EE5E7">
        <w:rPr>
          <w:rFonts w:ascii="Verdana" w:hAnsi="Verdana"/>
          <w:sz w:val="22"/>
          <w:szCs w:val="22"/>
          <w:shd w:val="clear" w:color="auto" w:fill="FFFFFF"/>
        </w:rPr>
        <w:t>the</w:t>
      </w:r>
      <w:r w:rsidRPr="005A6CFE" w:rsidR="2586569A">
        <w:rPr>
          <w:rFonts w:ascii="Verdana" w:hAnsi="Verdana"/>
          <w:sz w:val="22"/>
          <w:szCs w:val="22"/>
          <w:shd w:val="clear" w:color="auto" w:fill="FFFFFF"/>
        </w:rPr>
        <w:t xml:space="preserve"> </w:t>
      </w:r>
      <w:r w:rsidRPr="005A6CFE" w:rsidR="5C0F39FD">
        <w:rPr>
          <w:rFonts w:ascii="Verdana" w:hAnsi="Verdana"/>
          <w:sz w:val="22"/>
          <w:szCs w:val="22"/>
          <w:shd w:val="clear" w:color="auto" w:fill="FFFFFF"/>
        </w:rPr>
        <w:t xml:space="preserve">new </w:t>
      </w:r>
      <w:r w:rsidRPr="005A6CFE" w:rsidR="5D1A12D1">
        <w:rPr>
          <w:rFonts w:ascii="Verdana" w:hAnsi="Verdana"/>
          <w:sz w:val="22"/>
          <w:szCs w:val="22"/>
          <w:shd w:val="clear" w:color="auto" w:fill="FFFFFF"/>
        </w:rPr>
        <w:t>City</w:t>
      </w:r>
      <w:r w:rsidRPr="005A6CFE" w:rsidR="43973EA4">
        <w:rPr>
          <w:rFonts w:ascii="Verdana" w:hAnsi="Verdana"/>
          <w:sz w:val="22"/>
          <w:szCs w:val="22"/>
          <w:shd w:val="clear" w:color="auto" w:fill="FFFFFF"/>
        </w:rPr>
        <w:t>-</w:t>
      </w:r>
      <w:r w:rsidRPr="005A6CFE" w:rsidR="5D1A12D1">
        <w:rPr>
          <w:rFonts w:ascii="Verdana" w:hAnsi="Verdana"/>
          <w:sz w:val="22"/>
          <w:szCs w:val="22"/>
          <w:shd w:val="clear" w:color="auto" w:fill="FFFFFF"/>
        </w:rPr>
        <w:t xml:space="preserve">wide </w:t>
      </w:r>
      <w:r w:rsidRPr="005A6CFE" w:rsidR="7514936E">
        <w:rPr>
          <w:rFonts w:ascii="Verdana" w:hAnsi="Verdana"/>
          <w:sz w:val="22"/>
          <w:szCs w:val="22"/>
          <w:shd w:val="clear" w:color="auto" w:fill="FFFFFF"/>
        </w:rPr>
        <w:t>B</w:t>
      </w:r>
      <w:r w:rsidRPr="566F5AB2" w:rsidR="5D1A12D1">
        <w:rPr>
          <w:rFonts w:ascii="Verdana" w:hAnsi="Verdana" w:eastAsia="Calibri" w:cs="Arial" w:eastAsiaTheme="minorAscii"/>
          <w:sz w:val="22"/>
          <w:szCs w:val="22"/>
          <w:lang w:val="en-GB"/>
        </w:rPr>
        <w:t xml:space="preserve">us </w:t>
      </w:r>
      <w:r w:rsidRPr="566F5AB2" w:rsidR="7514936E">
        <w:rPr>
          <w:rFonts w:ascii="Verdana" w:hAnsi="Verdana" w:eastAsia="Calibri" w:cs="Arial" w:eastAsiaTheme="minorAscii"/>
          <w:sz w:val="22"/>
          <w:szCs w:val="22"/>
          <w:lang w:val="en-GB"/>
        </w:rPr>
        <w:t>S</w:t>
      </w:r>
      <w:r w:rsidRPr="566F5AB2" w:rsidR="5D1A12D1">
        <w:rPr>
          <w:rFonts w:ascii="Verdana" w:hAnsi="Verdana" w:eastAsia="Calibri" w:cs="Arial" w:eastAsiaTheme="minorAscii"/>
          <w:sz w:val="22"/>
          <w:szCs w:val="22"/>
          <w:lang w:val="en-GB"/>
        </w:rPr>
        <w:t xml:space="preserve">helter </w:t>
      </w:r>
      <w:r w:rsidRPr="566F5AB2" w:rsidR="7514936E">
        <w:rPr>
          <w:rFonts w:ascii="Verdana" w:hAnsi="Verdana" w:eastAsia="Calibri" w:cs="Arial" w:eastAsiaTheme="minorAscii"/>
          <w:sz w:val="22"/>
          <w:szCs w:val="22"/>
          <w:lang w:val="en-GB"/>
        </w:rPr>
        <w:t>A</w:t>
      </w:r>
      <w:r w:rsidRPr="566F5AB2" w:rsidR="5D1A12D1">
        <w:rPr>
          <w:rFonts w:ascii="Verdana" w:hAnsi="Verdana" w:eastAsia="Calibri" w:cs="Arial" w:eastAsiaTheme="minorAscii"/>
          <w:sz w:val="22"/>
          <w:szCs w:val="22"/>
          <w:lang w:val="en-GB"/>
        </w:rPr>
        <w:t>dvertising</w:t>
      </w:r>
      <w:r w:rsidRPr="566F5AB2" w:rsidR="4CBF245A">
        <w:rPr>
          <w:rFonts w:ascii="Verdana" w:hAnsi="Verdana" w:eastAsia="Calibri" w:cs="Arial" w:eastAsiaTheme="minorAscii"/>
          <w:sz w:val="22"/>
          <w:szCs w:val="22"/>
          <w:lang w:val="en-GB"/>
        </w:rPr>
        <w:t xml:space="preserve"> and Free-Standing Advertising Unit (FSU)</w:t>
      </w:r>
      <w:r w:rsidRPr="566F5AB2" w:rsidR="5D1A12D1">
        <w:rPr>
          <w:rFonts w:ascii="Verdana" w:hAnsi="Verdana" w:eastAsia="Calibri" w:cs="Arial" w:eastAsiaTheme="minorAscii"/>
          <w:sz w:val="22"/>
          <w:szCs w:val="22"/>
          <w:lang w:val="en-GB"/>
        </w:rPr>
        <w:t xml:space="preserve"> </w:t>
      </w:r>
      <w:r w:rsidRPr="566F5AB2" w:rsidR="7514936E">
        <w:rPr>
          <w:rFonts w:ascii="Verdana" w:hAnsi="Verdana" w:eastAsia="Calibri" w:cs="Arial" w:eastAsiaTheme="minorAscii"/>
          <w:sz w:val="22"/>
          <w:szCs w:val="22"/>
          <w:lang w:val="en-GB"/>
        </w:rPr>
        <w:t>C</w:t>
      </w:r>
      <w:r w:rsidRPr="566F5AB2" w:rsidR="5D1A12D1">
        <w:rPr>
          <w:rFonts w:ascii="Verdana" w:hAnsi="Verdana" w:eastAsia="Calibri" w:cs="Arial" w:eastAsiaTheme="minorAscii"/>
          <w:sz w:val="22"/>
          <w:szCs w:val="22"/>
          <w:lang w:val="en-GB"/>
        </w:rPr>
        <w:t xml:space="preserve">oncession </w:t>
      </w:r>
      <w:r w:rsidRPr="005A6CFE" w:rsidR="0036C750">
        <w:rPr>
          <w:rFonts w:ascii="Verdana" w:hAnsi="Verdana" w:eastAsia="Times New Roman"/>
          <w:sz w:val="22"/>
          <w:szCs w:val="22"/>
          <w:lang w:val="en-GB" w:eastAsia="en-GB"/>
        </w:rPr>
        <w:t>by</w:t>
      </w:r>
      <w:r w:rsidRPr="005A6CFE" w:rsidR="53E9EA4E">
        <w:rPr>
          <w:rFonts w:ascii="Verdana" w:hAnsi="Verdana" w:eastAsia="Times New Roman"/>
          <w:sz w:val="22"/>
          <w:szCs w:val="22"/>
          <w:lang w:val="en-GB" w:eastAsia="en-GB"/>
        </w:rPr>
        <w:t xml:space="preserve"> </w:t>
      </w:r>
      <w:r w:rsidR="51CA1601">
        <w:rPr>
          <w:rFonts w:ascii="Verdana" w:hAnsi="Verdana" w:eastAsia="Times New Roman"/>
          <w:sz w:val="22"/>
          <w:szCs w:val="22"/>
          <w:lang w:val="en-GB" w:eastAsia="en-GB"/>
        </w:rPr>
        <w:t>Cardiff</w:t>
      </w:r>
      <w:r w:rsidR="39871DCC">
        <w:rPr>
          <w:rFonts w:ascii="Verdana" w:hAnsi="Verdana" w:eastAsia="Times New Roman"/>
          <w:sz w:val="22"/>
          <w:szCs w:val="22"/>
          <w:lang w:val="en-GB" w:eastAsia="en-GB"/>
        </w:rPr>
        <w:t xml:space="preserve"> </w:t>
      </w:r>
      <w:r w:rsidRPr="566F5AB2" w:rsidR="0036C750">
        <w:rPr>
          <w:rFonts w:ascii="Verdana" w:hAnsi="Verdana" w:eastAsia="Calibri" w:eastAsiaTheme="minorAscii"/>
          <w:sz w:val="22"/>
          <w:szCs w:val="22"/>
        </w:rPr>
        <w:t>C</w:t>
      </w:r>
      <w:r w:rsidRPr="566F5AB2" w:rsidR="16AEFDCB">
        <w:rPr>
          <w:rFonts w:ascii="Verdana" w:hAnsi="Verdana" w:eastAsia="Calibri" w:eastAsiaTheme="minorAscii"/>
          <w:sz w:val="22"/>
          <w:szCs w:val="22"/>
        </w:rPr>
        <w:t>ouncil.</w:t>
      </w:r>
      <w:r w:rsidRPr="566F5AB2" w:rsidR="74475001">
        <w:rPr>
          <w:rFonts w:ascii="Verdana" w:hAnsi="Verdana" w:eastAsia="Calibri" w:eastAsiaTheme="minorAscii"/>
          <w:sz w:val="22"/>
          <w:szCs w:val="22"/>
        </w:rPr>
        <w:t xml:space="preserve">  CCUK </w:t>
      </w:r>
      <w:r w:rsidRPr="566F5AB2" w:rsidR="2EE8A09A">
        <w:rPr>
          <w:rFonts w:ascii="Verdana" w:hAnsi="Verdana" w:eastAsia="Calibri" w:eastAsiaTheme="minorAscii"/>
          <w:sz w:val="22"/>
          <w:szCs w:val="22"/>
        </w:rPr>
        <w:t>is the incumbent</w:t>
      </w:r>
      <w:r w:rsidRPr="566F5AB2" w:rsidR="74475001">
        <w:rPr>
          <w:rFonts w:ascii="Verdana" w:hAnsi="Verdana" w:eastAsia="Calibri" w:eastAsiaTheme="minorAscii"/>
          <w:sz w:val="22"/>
          <w:szCs w:val="22"/>
        </w:rPr>
        <w:t xml:space="preserve"> </w:t>
      </w:r>
      <w:r w:rsidRPr="566F5AB2" w:rsidR="7EA7E152">
        <w:rPr>
          <w:rFonts w:ascii="Verdana" w:hAnsi="Verdana" w:eastAsia="Calibri" w:eastAsiaTheme="minorAscii"/>
          <w:sz w:val="22"/>
          <w:szCs w:val="22"/>
        </w:rPr>
        <w:t xml:space="preserve">concessionaire </w:t>
      </w:r>
      <w:r w:rsidRPr="566F5AB2" w:rsidR="74475001">
        <w:rPr>
          <w:rFonts w:ascii="Verdana" w:hAnsi="Verdana" w:eastAsia="Calibri" w:eastAsiaTheme="minorAscii"/>
          <w:sz w:val="22"/>
          <w:szCs w:val="22"/>
        </w:rPr>
        <w:t xml:space="preserve">so the award will see the </w:t>
      </w:r>
      <w:r w:rsidRPr="566F5AB2" w:rsidR="370FD4F7">
        <w:rPr>
          <w:rFonts w:ascii="Verdana" w:hAnsi="Verdana" w:eastAsia="Calibri" w:eastAsiaTheme="minorAscii"/>
          <w:sz w:val="22"/>
          <w:szCs w:val="22"/>
        </w:rPr>
        <w:t xml:space="preserve">City Council and </w:t>
      </w:r>
      <w:r w:rsidRPr="566F5AB2" w:rsidR="73BEB7FE">
        <w:rPr>
          <w:rFonts w:ascii="Verdana" w:hAnsi="Verdana" w:eastAsia="Calibri" w:eastAsiaTheme="minorAscii"/>
          <w:sz w:val="22"/>
          <w:szCs w:val="22"/>
        </w:rPr>
        <w:t>CCUK</w:t>
      </w:r>
      <w:r w:rsidRPr="566F5AB2" w:rsidR="43265CA2">
        <w:rPr>
          <w:rFonts w:ascii="Verdana" w:hAnsi="Verdana" w:eastAsia="Calibri" w:eastAsiaTheme="minorAscii"/>
          <w:sz w:val="22"/>
          <w:szCs w:val="22"/>
        </w:rPr>
        <w:t>’s partner</w:t>
      </w:r>
      <w:r w:rsidRPr="566F5AB2" w:rsidR="74475001">
        <w:rPr>
          <w:rFonts w:ascii="Verdana" w:hAnsi="Verdana" w:eastAsia="Calibri" w:eastAsiaTheme="minorAscii"/>
          <w:sz w:val="22"/>
          <w:szCs w:val="22"/>
        </w:rPr>
        <w:t>ship continue.</w:t>
      </w:r>
    </w:p>
    <w:p w:rsidR="003A580D" w:rsidP="004326F1" w:rsidRDefault="003A580D" w14:paraId="4DA018E7" w14:textId="77777777">
      <w:pPr>
        <w:ind w:left="567" w:hanging="567"/>
        <w:jc w:val="both"/>
        <w:rPr>
          <w:rFonts w:ascii="Verdana" w:hAnsi="Verdana" w:cs="Arial"/>
          <w:color w:val="000000" w:themeColor="text1"/>
          <w:sz w:val="22"/>
          <w:szCs w:val="22"/>
        </w:rPr>
      </w:pPr>
    </w:p>
    <w:p w:rsidRPr="005A6CFE" w:rsidR="003A580D" w:rsidP="003A580D" w:rsidRDefault="003A580D" w14:paraId="255B0990" w14:textId="74326D37">
      <w:pPr>
        <w:ind w:left="567" w:hanging="567"/>
        <w:jc w:val="both"/>
        <w:rPr>
          <w:rFonts w:ascii="Verdana" w:hAnsi="Verdana"/>
          <w:sz w:val="22"/>
          <w:szCs w:val="22"/>
        </w:rPr>
      </w:pPr>
      <w:r w:rsidRPr="005A6CFE">
        <w:rPr>
          <w:rFonts w:ascii="Verdana" w:hAnsi="Verdana"/>
          <w:sz w:val="22"/>
          <w:szCs w:val="22"/>
        </w:rPr>
        <w:t>1.</w:t>
      </w:r>
      <w:r>
        <w:rPr>
          <w:rFonts w:ascii="Verdana" w:hAnsi="Verdana"/>
          <w:sz w:val="22"/>
          <w:szCs w:val="22"/>
        </w:rPr>
        <w:t>2</w:t>
      </w:r>
      <w:r w:rsidRPr="005A6CFE">
        <w:rPr>
          <w:rFonts w:ascii="Verdana" w:hAnsi="Verdana"/>
          <w:sz w:val="22"/>
          <w:szCs w:val="22"/>
        </w:rPr>
        <w:tab/>
      </w:r>
      <w:r w:rsidR="00F34797">
        <w:rPr>
          <w:rFonts w:ascii="Verdana" w:hAnsi="Verdana"/>
          <w:sz w:val="22"/>
          <w:szCs w:val="22"/>
        </w:rPr>
        <w:t xml:space="preserve">Subject to Planning, </w:t>
      </w:r>
      <w:r w:rsidRPr="005A6CFE">
        <w:rPr>
          <w:rFonts w:ascii="Verdana" w:hAnsi="Verdana"/>
          <w:sz w:val="22"/>
          <w:szCs w:val="22"/>
        </w:rPr>
        <w:t xml:space="preserve">the new concession </w:t>
      </w:r>
      <w:r w:rsidR="00F34797">
        <w:rPr>
          <w:rFonts w:ascii="Verdana" w:hAnsi="Verdana"/>
          <w:sz w:val="22"/>
          <w:szCs w:val="22"/>
        </w:rPr>
        <w:t>w</w:t>
      </w:r>
      <w:r w:rsidRPr="005A6CFE">
        <w:rPr>
          <w:rFonts w:ascii="Verdana" w:hAnsi="Verdana"/>
          <w:sz w:val="22"/>
          <w:szCs w:val="22"/>
        </w:rPr>
        <w:t xml:space="preserve">ill see the City-wide Bus Shelter advertising </w:t>
      </w:r>
      <w:r w:rsidR="00F34797">
        <w:rPr>
          <w:rFonts w:ascii="Verdana" w:hAnsi="Verdana"/>
          <w:sz w:val="22"/>
          <w:szCs w:val="22"/>
        </w:rPr>
        <w:t xml:space="preserve">and </w:t>
      </w:r>
      <w:r w:rsidR="002355B0">
        <w:rPr>
          <w:rFonts w:ascii="Verdana" w:hAnsi="Verdana"/>
          <w:sz w:val="22"/>
          <w:szCs w:val="22"/>
        </w:rPr>
        <w:t xml:space="preserve">FSU </w:t>
      </w:r>
      <w:r w:rsidR="00B352C0">
        <w:rPr>
          <w:rFonts w:ascii="Verdana" w:hAnsi="Verdana"/>
          <w:sz w:val="22"/>
          <w:szCs w:val="22"/>
        </w:rPr>
        <w:t xml:space="preserve">advertising </w:t>
      </w:r>
      <w:r w:rsidRPr="005A6CFE">
        <w:rPr>
          <w:rFonts w:ascii="Verdana" w:hAnsi="Verdana"/>
          <w:sz w:val="22"/>
          <w:szCs w:val="22"/>
        </w:rPr>
        <w:t>estate</w:t>
      </w:r>
      <w:r w:rsidR="00B352C0">
        <w:rPr>
          <w:rFonts w:ascii="Verdana" w:hAnsi="Verdana"/>
          <w:sz w:val="22"/>
          <w:szCs w:val="22"/>
        </w:rPr>
        <w:t xml:space="preserve">s </w:t>
      </w:r>
      <w:r w:rsidRPr="005A6CFE">
        <w:rPr>
          <w:rFonts w:ascii="Verdana" w:hAnsi="Verdana"/>
          <w:sz w:val="22"/>
          <w:szCs w:val="22"/>
        </w:rPr>
        <w:t>transformed</w:t>
      </w:r>
      <w:r w:rsidR="000E4467">
        <w:rPr>
          <w:rFonts w:ascii="Verdana" w:hAnsi="Verdana"/>
          <w:sz w:val="22"/>
          <w:szCs w:val="22"/>
        </w:rPr>
        <w:t>, upgraded</w:t>
      </w:r>
      <w:r w:rsidRPr="005A6CFE">
        <w:rPr>
          <w:rFonts w:ascii="Verdana" w:hAnsi="Verdana"/>
          <w:sz w:val="22"/>
          <w:szCs w:val="22"/>
        </w:rPr>
        <w:t xml:space="preserve"> and rationalized</w:t>
      </w:r>
      <w:r w:rsidR="002355B0">
        <w:rPr>
          <w:rFonts w:ascii="Verdana" w:hAnsi="Verdana"/>
          <w:sz w:val="22"/>
          <w:szCs w:val="22"/>
        </w:rPr>
        <w:t>.</w:t>
      </w:r>
    </w:p>
    <w:p w:rsidR="005A6CFE" w:rsidP="004326F1" w:rsidRDefault="005A6CFE" w14:paraId="4C36C1F9" w14:textId="562F94FB">
      <w:pPr>
        <w:ind w:left="567" w:hanging="567"/>
        <w:jc w:val="both"/>
        <w:rPr>
          <w:rFonts w:ascii="Verdana" w:hAnsi="Verdana" w:cs="Arial"/>
          <w:color w:val="000000" w:themeColor="text1"/>
          <w:sz w:val="22"/>
          <w:szCs w:val="22"/>
        </w:rPr>
      </w:pPr>
    </w:p>
    <w:p w:rsidRPr="004326F1" w:rsidR="00524CC2" w:rsidP="004326F1" w:rsidRDefault="00E322FF" w14:paraId="18736D47" w14:textId="0E28BF12">
      <w:pPr>
        <w:ind w:left="567"/>
        <w:jc w:val="both"/>
        <w:rPr>
          <w:rFonts w:ascii="Verdana" w:hAnsi="Verdana" w:cs="Arial"/>
          <w:b/>
          <w:bCs/>
          <w:color w:val="000000" w:themeColor="text1"/>
          <w:sz w:val="22"/>
          <w:szCs w:val="22"/>
        </w:rPr>
      </w:pPr>
      <w:r w:rsidRPr="004326F1">
        <w:rPr>
          <w:rFonts w:ascii="Verdana" w:hAnsi="Verdana" w:cs="Arial"/>
          <w:b/>
          <w:bCs/>
          <w:color w:val="000000" w:themeColor="text1"/>
          <w:sz w:val="22"/>
          <w:szCs w:val="22"/>
        </w:rPr>
        <w:t>Bus Shelter Advertising estate</w:t>
      </w:r>
    </w:p>
    <w:p w:rsidRPr="005A6CFE" w:rsidR="00524CC2" w:rsidP="004326F1" w:rsidRDefault="00524CC2" w14:paraId="26D495E5" w14:textId="77777777">
      <w:pPr>
        <w:ind w:left="567" w:hanging="567"/>
        <w:jc w:val="both"/>
        <w:rPr>
          <w:rFonts w:ascii="Verdana" w:hAnsi="Verdana" w:cs="Arial"/>
          <w:color w:val="000000" w:themeColor="text1"/>
          <w:sz w:val="22"/>
          <w:szCs w:val="22"/>
        </w:rPr>
      </w:pPr>
    </w:p>
    <w:p w:rsidRPr="005A6CFE" w:rsidR="000F7AD1" w:rsidP="004326F1" w:rsidRDefault="00715715" w14:paraId="27D34431" w14:textId="3041EE17">
      <w:pPr>
        <w:ind w:left="567" w:hanging="567"/>
        <w:jc w:val="both"/>
        <w:rPr>
          <w:rFonts w:ascii="Verdana" w:hAnsi="Verdana" w:cs="Arial"/>
          <w:color w:val="000000" w:themeColor="text1"/>
          <w:sz w:val="22"/>
          <w:szCs w:val="22"/>
        </w:rPr>
      </w:pPr>
      <w:r w:rsidRPr="005A6CFE">
        <w:rPr>
          <w:rFonts w:ascii="Verdana" w:hAnsi="Verdana" w:cs="Arial"/>
          <w:color w:val="000000" w:themeColor="text1"/>
          <w:sz w:val="22"/>
          <w:szCs w:val="22"/>
        </w:rPr>
        <w:t>1.</w:t>
      </w:r>
      <w:r w:rsidR="00B352C0">
        <w:rPr>
          <w:rFonts w:ascii="Verdana" w:hAnsi="Verdana" w:cs="Arial"/>
          <w:color w:val="000000" w:themeColor="text1"/>
          <w:sz w:val="22"/>
          <w:szCs w:val="22"/>
        </w:rPr>
        <w:t>3</w:t>
      </w:r>
      <w:r w:rsidRPr="005A6CFE">
        <w:rPr>
          <w:rFonts w:ascii="Verdana" w:hAnsi="Verdana" w:cs="Arial"/>
          <w:color w:val="000000" w:themeColor="text1"/>
          <w:sz w:val="22"/>
          <w:szCs w:val="22"/>
        </w:rPr>
        <w:tab/>
      </w:r>
      <w:r w:rsidRPr="005A6CFE" w:rsidR="00F01C2E">
        <w:rPr>
          <w:rFonts w:ascii="Verdana" w:hAnsi="Verdana" w:cs="Arial"/>
          <w:color w:val="000000" w:themeColor="text1"/>
          <w:sz w:val="22"/>
          <w:szCs w:val="22"/>
        </w:rPr>
        <w:t>T</w:t>
      </w:r>
      <w:r w:rsidRPr="005A6CFE" w:rsidR="00F93F9F">
        <w:rPr>
          <w:rFonts w:ascii="Verdana" w:hAnsi="Verdana" w:cs="Arial"/>
          <w:color w:val="000000" w:themeColor="text1"/>
          <w:sz w:val="22"/>
          <w:szCs w:val="22"/>
        </w:rPr>
        <w:t xml:space="preserve">here are 137 </w:t>
      </w:r>
      <w:r w:rsidRPr="005A6CFE" w:rsidR="002C2337">
        <w:rPr>
          <w:rFonts w:ascii="Verdana" w:hAnsi="Verdana" w:cs="Arial"/>
          <w:color w:val="000000" w:themeColor="text1"/>
          <w:sz w:val="22"/>
          <w:szCs w:val="22"/>
        </w:rPr>
        <w:t xml:space="preserve">existing Bus Shelters across the City, and the new concession will see </w:t>
      </w:r>
      <w:r w:rsidRPr="005A6CFE" w:rsidR="00F278A4">
        <w:rPr>
          <w:rFonts w:ascii="Verdana" w:hAnsi="Verdana" w:cs="Arial"/>
          <w:color w:val="000000" w:themeColor="text1"/>
          <w:sz w:val="22"/>
          <w:szCs w:val="22"/>
        </w:rPr>
        <w:t>all of the Shelters replaced</w:t>
      </w:r>
      <w:r w:rsidRPr="005A6CFE" w:rsidR="002C2337">
        <w:rPr>
          <w:rFonts w:ascii="Verdana" w:hAnsi="Verdana" w:cs="Arial"/>
          <w:color w:val="000000" w:themeColor="text1"/>
          <w:sz w:val="22"/>
          <w:szCs w:val="22"/>
        </w:rPr>
        <w:t>.</w:t>
      </w:r>
      <w:r w:rsidRPr="005A6CFE" w:rsidR="000F7AD1">
        <w:rPr>
          <w:rFonts w:ascii="Verdana" w:hAnsi="Verdana" w:cs="Arial"/>
          <w:color w:val="000000" w:themeColor="text1"/>
          <w:sz w:val="22"/>
          <w:szCs w:val="22"/>
        </w:rPr>
        <w:t xml:space="preserve">  </w:t>
      </w:r>
      <w:r w:rsidRPr="005A6CFE" w:rsidR="00CE2755">
        <w:rPr>
          <w:rFonts w:ascii="Verdana" w:hAnsi="Verdana" w:cs="Arial"/>
          <w:color w:val="000000" w:themeColor="text1"/>
          <w:sz w:val="22"/>
          <w:szCs w:val="22"/>
        </w:rPr>
        <w:t>Within these Shelters, the existing Bus Shelter Advertising estate across the City comprises</w:t>
      </w:r>
      <w:r w:rsidRPr="005A6CFE" w:rsidR="007567E7">
        <w:rPr>
          <w:rFonts w:ascii="Verdana" w:hAnsi="Verdana" w:cs="Arial"/>
          <w:color w:val="000000" w:themeColor="text1"/>
          <w:sz w:val="22"/>
          <w:szCs w:val="22"/>
        </w:rPr>
        <w:t xml:space="preserve"> </w:t>
      </w:r>
      <w:r w:rsidR="002A733E">
        <w:rPr>
          <w:rFonts w:ascii="Verdana" w:hAnsi="Verdana" w:cs="Arial"/>
          <w:color w:val="000000" w:themeColor="text1"/>
          <w:sz w:val="22"/>
          <w:szCs w:val="22"/>
        </w:rPr>
        <w:t>in the main</w:t>
      </w:r>
      <w:r w:rsidRPr="005A6CFE" w:rsidR="007567E7">
        <w:rPr>
          <w:rFonts w:ascii="Verdana" w:hAnsi="Verdana" w:cs="Arial"/>
          <w:color w:val="000000" w:themeColor="text1"/>
          <w:sz w:val="22"/>
          <w:szCs w:val="22"/>
        </w:rPr>
        <w:t xml:space="preserve"> </w:t>
      </w:r>
      <w:r w:rsidRPr="005A6CFE" w:rsidR="006F493C">
        <w:rPr>
          <w:rFonts w:ascii="Verdana" w:hAnsi="Verdana" w:cs="Arial"/>
          <w:color w:val="000000" w:themeColor="text1"/>
          <w:sz w:val="22"/>
          <w:szCs w:val="22"/>
        </w:rPr>
        <w:t>internally illuminated 6-sheet (</w:t>
      </w:r>
      <w:r w:rsidRPr="005A6CFE" w:rsidR="004F3FEA">
        <w:rPr>
          <w:rFonts w:ascii="Verdana" w:hAnsi="Verdana" w:cs="Arial"/>
          <w:color w:val="000000" w:themeColor="text1"/>
          <w:sz w:val="22"/>
          <w:szCs w:val="22"/>
        </w:rPr>
        <w:t>‘</w:t>
      </w:r>
      <w:r w:rsidRPr="005A6CFE" w:rsidR="006F493C">
        <w:rPr>
          <w:rFonts w:ascii="Verdana" w:hAnsi="Verdana" w:cs="Arial"/>
          <w:color w:val="000000" w:themeColor="text1"/>
          <w:sz w:val="22"/>
          <w:szCs w:val="22"/>
        </w:rPr>
        <w:t>classic</w:t>
      </w:r>
      <w:r w:rsidRPr="005A6CFE" w:rsidR="004F3FEA">
        <w:rPr>
          <w:rFonts w:ascii="Verdana" w:hAnsi="Verdana" w:cs="Arial"/>
          <w:color w:val="000000" w:themeColor="text1"/>
          <w:sz w:val="22"/>
          <w:szCs w:val="22"/>
        </w:rPr>
        <w:t>’</w:t>
      </w:r>
      <w:r w:rsidRPr="005A6CFE" w:rsidR="006F493C">
        <w:rPr>
          <w:rFonts w:ascii="Verdana" w:hAnsi="Verdana" w:cs="Arial"/>
          <w:color w:val="000000" w:themeColor="text1"/>
          <w:sz w:val="22"/>
          <w:szCs w:val="22"/>
        </w:rPr>
        <w:t xml:space="preserve">) and </w:t>
      </w:r>
      <w:r w:rsidR="002A733E">
        <w:rPr>
          <w:rFonts w:ascii="Verdana" w:hAnsi="Verdana" w:cs="Arial"/>
          <w:color w:val="000000" w:themeColor="text1"/>
          <w:sz w:val="22"/>
          <w:szCs w:val="22"/>
        </w:rPr>
        <w:t xml:space="preserve">a small number </w:t>
      </w:r>
      <w:r w:rsidRPr="002A733E" w:rsidR="002A733E">
        <w:rPr>
          <w:rFonts w:ascii="Verdana" w:hAnsi="Verdana" w:cs="Arial"/>
          <w:color w:val="000000" w:themeColor="text1"/>
          <w:sz w:val="22"/>
          <w:szCs w:val="22"/>
        </w:rPr>
        <w:t>of</w:t>
      </w:r>
      <w:r w:rsidRPr="002A733E" w:rsidR="00263E83">
        <w:rPr>
          <w:rFonts w:ascii="Verdana" w:hAnsi="Verdana" w:cs="Arial"/>
          <w:color w:val="000000" w:themeColor="text1"/>
          <w:sz w:val="22"/>
          <w:szCs w:val="22"/>
        </w:rPr>
        <w:t xml:space="preserve"> </w:t>
      </w:r>
      <w:r w:rsidRPr="002A733E" w:rsidR="006F493C">
        <w:rPr>
          <w:rFonts w:ascii="Verdana" w:hAnsi="Verdana" w:cs="Arial"/>
          <w:color w:val="000000" w:themeColor="text1"/>
          <w:sz w:val="22"/>
          <w:szCs w:val="22"/>
        </w:rPr>
        <w:t>digital advertising displays</w:t>
      </w:r>
      <w:r w:rsidRPr="002A733E" w:rsidR="000F7AD1">
        <w:rPr>
          <w:rFonts w:ascii="Verdana" w:hAnsi="Verdana" w:cs="Arial"/>
          <w:color w:val="000000" w:themeColor="text1"/>
          <w:sz w:val="22"/>
          <w:szCs w:val="22"/>
        </w:rPr>
        <w:t>.</w:t>
      </w:r>
    </w:p>
    <w:p w:rsidRPr="005A6CFE" w:rsidR="000F7AD1" w:rsidP="004326F1" w:rsidRDefault="000F7AD1" w14:paraId="695FE70F" w14:textId="0E3E56BF">
      <w:pPr>
        <w:ind w:left="567" w:hanging="567"/>
        <w:jc w:val="both"/>
        <w:rPr>
          <w:rFonts w:ascii="Verdana" w:hAnsi="Verdana" w:cs="Arial"/>
          <w:color w:val="000000" w:themeColor="text1"/>
          <w:sz w:val="22"/>
          <w:szCs w:val="22"/>
        </w:rPr>
      </w:pPr>
    </w:p>
    <w:p w:rsidRPr="005A6CFE" w:rsidR="00036A3C" w:rsidP="004326F1" w:rsidRDefault="004F3FEA" w14:paraId="0CE77BEC" w14:textId="29A5E5FE">
      <w:pPr>
        <w:ind w:left="567" w:hanging="567"/>
        <w:jc w:val="both"/>
        <w:rPr>
          <w:rFonts w:ascii="Verdana" w:hAnsi="Verdana"/>
          <w:sz w:val="22"/>
          <w:szCs w:val="22"/>
        </w:rPr>
      </w:pPr>
      <w:r w:rsidRPr="005A6CFE">
        <w:rPr>
          <w:rFonts w:ascii="Verdana" w:hAnsi="Verdana" w:cs="Arial"/>
          <w:color w:val="000000" w:themeColor="text1"/>
          <w:sz w:val="22"/>
          <w:szCs w:val="22"/>
        </w:rPr>
        <w:t>1.</w:t>
      </w:r>
      <w:r w:rsidR="00B352C0">
        <w:rPr>
          <w:rFonts w:ascii="Verdana" w:hAnsi="Verdana" w:cs="Arial"/>
          <w:color w:val="000000" w:themeColor="text1"/>
          <w:sz w:val="22"/>
          <w:szCs w:val="22"/>
        </w:rPr>
        <w:t>4</w:t>
      </w:r>
      <w:r w:rsidRPr="005A6CFE">
        <w:rPr>
          <w:rFonts w:ascii="Verdana" w:hAnsi="Verdana" w:cs="Arial"/>
          <w:color w:val="000000" w:themeColor="text1"/>
          <w:sz w:val="22"/>
          <w:szCs w:val="22"/>
        </w:rPr>
        <w:tab/>
      </w:r>
      <w:r w:rsidRPr="005A6CFE" w:rsidR="00263E83">
        <w:rPr>
          <w:rFonts w:ascii="Verdana" w:hAnsi="Verdana" w:cs="Arial"/>
          <w:color w:val="000000" w:themeColor="text1"/>
          <w:sz w:val="22"/>
          <w:szCs w:val="22"/>
        </w:rPr>
        <w:t>Under the new concession,</w:t>
      </w:r>
      <w:r w:rsidR="00DD3906">
        <w:rPr>
          <w:rFonts w:ascii="Verdana" w:hAnsi="Verdana" w:cs="Arial"/>
          <w:color w:val="000000" w:themeColor="text1"/>
          <w:sz w:val="22"/>
          <w:szCs w:val="22"/>
        </w:rPr>
        <w:t xml:space="preserve"> </w:t>
      </w:r>
      <w:r w:rsidRPr="005A6CFE" w:rsidR="00DD3906">
        <w:rPr>
          <w:rFonts w:ascii="Verdana" w:hAnsi="Verdana"/>
          <w:sz w:val="22"/>
          <w:szCs w:val="22"/>
        </w:rPr>
        <w:t>subject to planning</w:t>
      </w:r>
      <w:r w:rsidR="00DD3906">
        <w:rPr>
          <w:rFonts w:ascii="Verdana" w:hAnsi="Verdana"/>
          <w:sz w:val="22"/>
          <w:szCs w:val="22"/>
        </w:rPr>
        <w:t>,</w:t>
      </w:r>
      <w:r w:rsidRPr="005A6CFE" w:rsidR="00DD3906">
        <w:rPr>
          <w:rFonts w:ascii="Verdana" w:hAnsi="Verdana" w:cs="Arial"/>
          <w:color w:val="000000" w:themeColor="text1"/>
          <w:sz w:val="22"/>
          <w:szCs w:val="22"/>
        </w:rPr>
        <w:t xml:space="preserve"> </w:t>
      </w:r>
      <w:r w:rsidR="00A50DB4">
        <w:rPr>
          <w:rFonts w:ascii="Verdana" w:hAnsi="Verdana" w:cs="Arial"/>
          <w:color w:val="000000" w:themeColor="text1"/>
          <w:sz w:val="22"/>
          <w:szCs w:val="22"/>
        </w:rPr>
        <w:t>the p</w:t>
      </w:r>
      <w:r w:rsidR="009C2AEA">
        <w:rPr>
          <w:rFonts w:ascii="Verdana" w:hAnsi="Verdana" w:cs="Arial"/>
          <w:color w:val="000000" w:themeColor="text1"/>
          <w:sz w:val="22"/>
          <w:szCs w:val="22"/>
        </w:rPr>
        <w:t>roposal</w:t>
      </w:r>
      <w:r w:rsidR="00A50DB4">
        <w:rPr>
          <w:rFonts w:ascii="Verdana" w:hAnsi="Verdana" w:cs="Arial"/>
          <w:color w:val="000000" w:themeColor="text1"/>
          <w:sz w:val="22"/>
          <w:szCs w:val="22"/>
        </w:rPr>
        <w:t xml:space="preserve"> is to </w:t>
      </w:r>
      <w:r w:rsidRPr="005A6CFE" w:rsidR="00A57AF2">
        <w:rPr>
          <w:rFonts w:ascii="Verdana" w:hAnsi="Verdana"/>
          <w:sz w:val="22"/>
          <w:szCs w:val="22"/>
        </w:rPr>
        <w:t>replace</w:t>
      </w:r>
      <w:r w:rsidR="00A50DB4">
        <w:rPr>
          <w:rFonts w:ascii="Verdana" w:hAnsi="Verdana"/>
          <w:sz w:val="22"/>
          <w:szCs w:val="22"/>
        </w:rPr>
        <w:t xml:space="preserve"> a number of the existing internally illuminated 6-sheet </w:t>
      </w:r>
      <w:r w:rsidR="00206364">
        <w:rPr>
          <w:rFonts w:ascii="Verdana" w:hAnsi="Verdana"/>
          <w:sz w:val="22"/>
          <w:szCs w:val="22"/>
        </w:rPr>
        <w:t xml:space="preserve">‘classic’ Bus Shelter </w:t>
      </w:r>
      <w:r w:rsidRPr="005A6CFE" w:rsidR="00206364">
        <w:rPr>
          <w:rFonts w:ascii="Verdana" w:hAnsi="Verdana"/>
          <w:sz w:val="22"/>
          <w:szCs w:val="22"/>
        </w:rPr>
        <w:t xml:space="preserve">advertising </w:t>
      </w:r>
      <w:r w:rsidR="00A50DB4">
        <w:rPr>
          <w:rFonts w:ascii="Verdana" w:hAnsi="Verdana"/>
          <w:sz w:val="22"/>
          <w:szCs w:val="22"/>
        </w:rPr>
        <w:t>displays</w:t>
      </w:r>
      <w:r w:rsidRPr="005A6CFE" w:rsidR="00A50DB4">
        <w:rPr>
          <w:rFonts w:ascii="Verdana" w:hAnsi="Verdana"/>
          <w:sz w:val="22"/>
          <w:szCs w:val="22"/>
        </w:rPr>
        <w:t xml:space="preserve"> </w:t>
      </w:r>
      <w:r w:rsidR="00206364">
        <w:rPr>
          <w:rFonts w:ascii="Verdana" w:hAnsi="Verdana"/>
          <w:sz w:val="22"/>
          <w:szCs w:val="22"/>
        </w:rPr>
        <w:t xml:space="preserve">with </w:t>
      </w:r>
      <w:r w:rsidRPr="005A6CFE" w:rsidR="00036A3C">
        <w:rPr>
          <w:rFonts w:ascii="Verdana" w:hAnsi="Verdana"/>
          <w:sz w:val="22"/>
          <w:szCs w:val="22"/>
        </w:rPr>
        <w:t xml:space="preserve">digital </w:t>
      </w:r>
      <w:r w:rsidRPr="005A6CFE" w:rsidR="00474ADB">
        <w:rPr>
          <w:rFonts w:ascii="Verdana" w:hAnsi="Verdana"/>
          <w:sz w:val="22"/>
          <w:szCs w:val="22"/>
        </w:rPr>
        <w:t>displays</w:t>
      </w:r>
      <w:r w:rsidRPr="005A6CFE" w:rsidR="002F24A2">
        <w:rPr>
          <w:rFonts w:ascii="Verdana" w:hAnsi="Verdana"/>
          <w:sz w:val="22"/>
          <w:szCs w:val="22"/>
        </w:rPr>
        <w:t xml:space="preserve">.  </w:t>
      </w:r>
      <w:r w:rsidRPr="00884D8A" w:rsidR="002F24A2">
        <w:rPr>
          <w:rFonts w:ascii="Verdana" w:hAnsi="Verdana"/>
          <w:sz w:val="22"/>
          <w:szCs w:val="22"/>
        </w:rPr>
        <w:t xml:space="preserve">The new concession </w:t>
      </w:r>
      <w:r w:rsidRPr="00884D8A" w:rsidR="00D104F9">
        <w:rPr>
          <w:rFonts w:ascii="Verdana" w:hAnsi="Verdana"/>
          <w:sz w:val="22"/>
          <w:szCs w:val="22"/>
        </w:rPr>
        <w:t xml:space="preserve">will </w:t>
      </w:r>
      <w:r w:rsidRPr="00884D8A" w:rsidR="00A57AF2">
        <w:rPr>
          <w:rFonts w:ascii="Verdana" w:hAnsi="Verdana"/>
          <w:sz w:val="22"/>
          <w:szCs w:val="22"/>
        </w:rPr>
        <w:t xml:space="preserve">also </w:t>
      </w:r>
      <w:r w:rsidRPr="00884D8A" w:rsidR="00D104F9">
        <w:rPr>
          <w:rFonts w:ascii="Verdana" w:hAnsi="Verdana"/>
          <w:sz w:val="22"/>
          <w:szCs w:val="22"/>
        </w:rPr>
        <w:t xml:space="preserve">see </w:t>
      </w:r>
      <w:r w:rsidRPr="00884D8A" w:rsidR="00592732">
        <w:rPr>
          <w:rFonts w:ascii="Verdana" w:hAnsi="Verdana"/>
          <w:sz w:val="22"/>
          <w:szCs w:val="22"/>
        </w:rPr>
        <w:t xml:space="preserve">a </w:t>
      </w:r>
      <w:r w:rsidRPr="00884D8A" w:rsidR="00884D8A">
        <w:rPr>
          <w:rFonts w:ascii="Verdana" w:hAnsi="Verdana"/>
          <w:sz w:val="22"/>
          <w:szCs w:val="22"/>
        </w:rPr>
        <w:t>large number of the existing</w:t>
      </w:r>
      <w:r w:rsidRPr="00884D8A" w:rsidR="00D104F9">
        <w:rPr>
          <w:rFonts w:ascii="Verdana" w:hAnsi="Verdana"/>
          <w:sz w:val="22"/>
          <w:szCs w:val="22"/>
        </w:rPr>
        <w:t xml:space="preserve"> internally illuminated 6-sheet </w:t>
      </w:r>
      <w:r w:rsidRPr="00884D8A" w:rsidR="000E3801">
        <w:rPr>
          <w:rFonts w:ascii="Verdana" w:hAnsi="Verdana"/>
          <w:sz w:val="22"/>
          <w:szCs w:val="22"/>
        </w:rPr>
        <w:t xml:space="preserve">‘classic’ </w:t>
      </w:r>
      <w:r w:rsidRPr="00884D8A" w:rsidR="00FD480B">
        <w:rPr>
          <w:rFonts w:ascii="Verdana" w:hAnsi="Verdana"/>
          <w:sz w:val="22"/>
          <w:szCs w:val="22"/>
        </w:rPr>
        <w:t xml:space="preserve">displays </w:t>
      </w:r>
      <w:r w:rsidRPr="00884D8A" w:rsidR="009C2AEA">
        <w:rPr>
          <w:rFonts w:ascii="Verdana" w:hAnsi="Verdana"/>
          <w:sz w:val="22"/>
          <w:szCs w:val="22"/>
        </w:rPr>
        <w:t xml:space="preserve">across the City </w:t>
      </w:r>
      <w:r w:rsidRPr="00884D8A" w:rsidR="00FD480B">
        <w:rPr>
          <w:rFonts w:ascii="Verdana" w:hAnsi="Verdana"/>
          <w:sz w:val="22"/>
          <w:szCs w:val="22"/>
        </w:rPr>
        <w:t>removed.</w:t>
      </w:r>
    </w:p>
    <w:p w:rsidR="00376310" w:rsidP="004326F1" w:rsidRDefault="00376310" w14:paraId="7047026C" w14:textId="77777777">
      <w:pPr>
        <w:ind w:left="567"/>
        <w:jc w:val="both"/>
        <w:rPr>
          <w:rFonts w:ascii="Verdana" w:hAnsi="Verdana" w:cs="Arial"/>
          <w:b/>
          <w:bCs/>
          <w:iCs/>
          <w:color w:val="000000" w:themeColor="text1"/>
          <w:sz w:val="22"/>
          <w:szCs w:val="22"/>
        </w:rPr>
      </w:pPr>
    </w:p>
    <w:p w:rsidRPr="004326F1" w:rsidR="00CC1109" w:rsidP="004326F1" w:rsidRDefault="00CC1109" w14:paraId="36FC7291" w14:textId="2E9048D6">
      <w:pPr>
        <w:ind w:left="567"/>
        <w:jc w:val="both"/>
        <w:rPr>
          <w:rFonts w:ascii="Verdana" w:hAnsi="Verdana" w:cs="Arial"/>
          <w:b/>
          <w:bCs/>
          <w:iCs/>
          <w:color w:val="000000" w:themeColor="text1"/>
          <w:sz w:val="22"/>
          <w:szCs w:val="22"/>
        </w:rPr>
      </w:pPr>
      <w:r w:rsidRPr="004326F1">
        <w:rPr>
          <w:rFonts w:ascii="Verdana" w:hAnsi="Verdana" w:cs="Arial"/>
          <w:b/>
          <w:bCs/>
          <w:iCs/>
          <w:color w:val="000000" w:themeColor="text1"/>
          <w:sz w:val="22"/>
          <w:szCs w:val="22"/>
        </w:rPr>
        <w:t>Free-Standing Advertising Unit estate</w:t>
      </w:r>
    </w:p>
    <w:p w:rsidRPr="005A6CFE" w:rsidR="00CC1109" w:rsidP="004326F1" w:rsidRDefault="00CC1109" w14:paraId="3A2EF868" w14:textId="0DC4032A">
      <w:pPr>
        <w:ind w:left="567" w:hanging="567"/>
        <w:jc w:val="both"/>
        <w:rPr>
          <w:rFonts w:ascii="Verdana" w:hAnsi="Verdana"/>
          <w:sz w:val="22"/>
          <w:szCs w:val="22"/>
        </w:rPr>
      </w:pPr>
    </w:p>
    <w:p w:rsidRPr="005A6CFE" w:rsidR="0014348F" w:rsidP="004326F1" w:rsidRDefault="0014348F" w14:paraId="2A3417EC" w14:textId="4B3B142C">
      <w:pPr>
        <w:ind w:left="567" w:hanging="567"/>
        <w:jc w:val="both"/>
        <w:rPr>
          <w:rFonts w:ascii="Verdana" w:hAnsi="Verdana" w:cs="Arial"/>
          <w:color w:val="000000" w:themeColor="text1"/>
          <w:sz w:val="22"/>
          <w:szCs w:val="22"/>
        </w:rPr>
      </w:pPr>
      <w:r w:rsidRPr="005A6CFE">
        <w:rPr>
          <w:rFonts w:ascii="Verdana" w:hAnsi="Verdana" w:cs="Arial"/>
          <w:color w:val="000000" w:themeColor="text1"/>
          <w:sz w:val="22"/>
          <w:szCs w:val="22"/>
        </w:rPr>
        <w:t>1.</w:t>
      </w:r>
      <w:r w:rsidR="00A3172E">
        <w:rPr>
          <w:rFonts w:ascii="Verdana" w:hAnsi="Verdana" w:cs="Arial"/>
          <w:color w:val="000000" w:themeColor="text1"/>
          <w:sz w:val="22"/>
          <w:szCs w:val="22"/>
        </w:rPr>
        <w:t>5</w:t>
      </w:r>
      <w:r w:rsidRPr="005A6CFE">
        <w:rPr>
          <w:rFonts w:ascii="Verdana" w:hAnsi="Verdana" w:cs="Arial"/>
          <w:color w:val="000000" w:themeColor="text1"/>
          <w:sz w:val="22"/>
          <w:szCs w:val="22"/>
        </w:rPr>
        <w:tab/>
      </w:r>
      <w:r w:rsidRPr="005A6CFE">
        <w:rPr>
          <w:rFonts w:ascii="Verdana" w:hAnsi="Verdana" w:cs="Arial"/>
          <w:color w:val="000000" w:themeColor="text1"/>
          <w:sz w:val="22"/>
          <w:szCs w:val="22"/>
        </w:rPr>
        <w:t xml:space="preserve">There are </w:t>
      </w:r>
      <w:r w:rsidRPr="005A6CFE" w:rsidR="00780858">
        <w:rPr>
          <w:rFonts w:ascii="Verdana" w:hAnsi="Verdana" w:cs="Arial"/>
          <w:color w:val="000000" w:themeColor="text1"/>
          <w:sz w:val="22"/>
          <w:szCs w:val="22"/>
        </w:rPr>
        <w:t>22</w:t>
      </w:r>
      <w:r w:rsidRPr="005A6CFE">
        <w:rPr>
          <w:rFonts w:ascii="Verdana" w:hAnsi="Verdana" w:cs="Arial"/>
          <w:color w:val="000000" w:themeColor="text1"/>
          <w:sz w:val="22"/>
          <w:szCs w:val="22"/>
        </w:rPr>
        <w:t xml:space="preserve"> existing</w:t>
      </w:r>
      <w:r w:rsidRPr="005A6CFE" w:rsidR="00780858">
        <w:rPr>
          <w:rFonts w:ascii="Verdana" w:hAnsi="Verdana" w:cs="Arial"/>
          <w:color w:val="000000" w:themeColor="text1"/>
          <w:sz w:val="22"/>
          <w:szCs w:val="22"/>
        </w:rPr>
        <w:t xml:space="preserve"> </w:t>
      </w:r>
      <w:r w:rsidRPr="005A6CFE" w:rsidR="00780858">
        <w:rPr>
          <w:rFonts w:ascii="Verdana" w:hAnsi="Verdana" w:cs="Arial" w:eastAsiaTheme="minorHAnsi"/>
          <w:sz w:val="22"/>
          <w:szCs w:val="22"/>
          <w:lang w:val="en-GB"/>
        </w:rPr>
        <w:t>Free-Standing Advertising Units (FSU</w:t>
      </w:r>
      <w:r w:rsidRPr="005A6CFE" w:rsidR="00F355D6">
        <w:rPr>
          <w:rFonts w:ascii="Verdana" w:hAnsi="Verdana" w:cs="Arial" w:eastAsiaTheme="minorHAnsi"/>
          <w:sz w:val="22"/>
          <w:szCs w:val="22"/>
          <w:lang w:val="en-GB"/>
        </w:rPr>
        <w:t>’</w:t>
      </w:r>
      <w:r w:rsidRPr="005A6CFE" w:rsidR="00780858">
        <w:rPr>
          <w:rFonts w:ascii="Verdana" w:hAnsi="Verdana" w:cs="Arial" w:eastAsiaTheme="minorHAnsi"/>
          <w:sz w:val="22"/>
          <w:szCs w:val="22"/>
          <w:lang w:val="en-GB"/>
        </w:rPr>
        <w:t xml:space="preserve">s) </w:t>
      </w:r>
      <w:r w:rsidRPr="005A6CFE" w:rsidR="00813AF3">
        <w:rPr>
          <w:rFonts w:ascii="Verdana" w:hAnsi="Verdana" w:cs="Arial" w:eastAsiaTheme="minorHAnsi"/>
          <w:sz w:val="22"/>
          <w:szCs w:val="22"/>
          <w:lang w:val="en-GB"/>
        </w:rPr>
        <w:t xml:space="preserve">located </w:t>
      </w:r>
      <w:r w:rsidRPr="005A6CFE">
        <w:rPr>
          <w:rFonts w:ascii="Verdana" w:hAnsi="Verdana" w:cs="Arial"/>
          <w:color w:val="000000" w:themeColor="text1"/>
          <w:sz w:val="22"/>
          <w:szCs w:val="22"/>
        </w:rPr>
        <w:t>across the City,</w:t>
      </w:r>
      <w:r w:rsidRPr="005A6CFE" w:rsidR="00977B74">
        <w:rPr>
          <w:rFonts w:ascii="Verdana" w:hAnsi="Verdana" w:cs="Arial"/>
          <w:color w:val="000000" w:themeColor="text1"/>
          <w:sz w:val="22"/>
          <w:szCs w:val="22"/>
        </w:rPr>
        <w:t xml:space="preserve"> consisting of </w:t>
      </w:r>
      <w:r w:rsidRPr="005A6CFE" w:rsidR="00977B74">
        <w:rPr>
          <w:rFonts w:ascii="Verdana" w:hAnsi="Verdana"/>
          <w:sz w:val="22"/>
          <w:szCs w:val="22"/>
        </w:rPr>
        <w:t>20 single</w:t>
      </w:r>
      <w:r w:rsidRPr="005A6CFE" w:rsidR="00CA53CA">
        <w:rPr>
          <w:rFonts w:ascii="Verdana" w:hAnsi="Verdana"/>
          <w:sz w:val="22"/>
          <w:szCs w:val="22"/>
        </w:rPr>
        <w:t xml:space="preserve"> d</w:t>
      </w:r>
      <w:r w:rsidRPr="005A6CFE" w:rsidR="003910CE">
        <w:rPr>
          <w:rFonts w:ascii="Verdana" w:hAnsi="Verdana"/>
          <w:sz w:val="22"/>
          <w:szCs w:val="22"/>
        </w:rPr>
        <w:t xml:space="preserve">igital </w:t>
      </w:r>
      <w:r w:rsidRPr="005A6CFE" w:rsidR="003D55D1">
        <w:rPr>
          <w:rFonts w:ascii="Verdana" w:hAnsi="Verdana"/>
          <w:sz w:val="22"/>
          <w:szCs w:val="22"/>
        </w:rPr>
        <w:t xml:space="preserve">display </w:t>
      </w:r>
      <w:r w:rsidRPr="005A6CFE" w:rsidR="003910CE">
        <w:rPr>
          <w:rFonts w:ascii="Verdana" w:hAnsi="Verdana"/>
          <w:sz w:val="22"/>
          <w:szCs w:val="22"/>
        </w:rPr>
        <w:t xml:space="preserve">FSU’s and </w:t>
      </w:r>
      <w:r w:rsidRPr="005A6CFE" w:rsidR="00977B74">
        <w:rPr>
          <w:rFonts w:ascii="Verdana" w:hAnsi="Verdana"/>
          <w:sz w:val="22"/>
          <w:szCs w:val="22"/>
        </w:rPr>
        <w:t xml:space="preserve">2 </w:t>
      </w:r>
      <w:r w:rsidRPr="005A6CFE" w:rsidR="003B5ED1">
        <w:rPr>
          <w:rFonts w:ascii="Verdana" w:hAnsi="Verdana"/>
          <w:sz w:val="22"/>
          <w:szCs w:val="22"/>
        </w:rPr>
        <w:t>internally illuminated 6-sheet</w:t>
      </w:r>
      <w:r w:rsidRPr="005A6CFE" w:rsidR="00F355D6">
        <w:rPr>
          <w:rFonts w:ascii="Verdana" w:hAnsi="Verdana"/>
          <w:sz w:val="22"/>
          <w:szCs w:val="22"/>
        </w:rPr>
        <w:t xml:space="preserve"> </w:t>
      </w:r>
      <w:r w:rsidRPr="005A6CFE">
        <w:rPr>
          <w:rFonts w:ascii="Verdana" w:hAnsi="Verdana" w:cs="Arial"/>
          <w:color w:val="000000" w:themeColor="text1"/>
          <w:sz w:val="22"/>
          <w:szCs w:val="22"/>
        </w:rPr>
        <w:t>‘classic’</w:t>
      </w:r>
      <w:r w:rsidRPr="005A6CFE" w:rsidR="00F355D6">
        <w:rPr>
          <w:rFonts w:ascii="Verdana" w:hAnsi="Verdana" w:cs="Arial"/>
          <w:color w:val="000000" w:themeColor="text1"/>
          <w:sz w:val="22"/>
          <w:szCs w:val="22"/>
        </w:rPr>
        <w:t xml:space="preserve"> FSU’s.</w:t>
      </w:r>
    </w:p>
    <w:p w:rsidRPr="005A6CFE" w:rsidR="00F355D6" w:rsidP="004326F1" w:rsidRDefault="00F355D6" w14:paraId="2BE29D38" w14:textId="77777777">
      <w:pPr>
        <w:ind w:left="567" w:hanging="567"/>
        <w:jc w:val="both"/>
        <w:rPr>
          <w:rFonts w:ascii="Verdana" w:hAnsi="Verdana" w:cs="Arial"/>
          <w:color w:val="000000" w:themeColor="text1"/>
          <w:sz w:val="22"/>
          <w:szCs w:val="22"/>
        </w:rPr>
      </w:pPr>
    </w:p>
    <w:p w:rsidRPr="005A6CFE" w:rsidR="0014348F" w:rsidP="004326F1" w:rsidRDefault="0014348F" w14:paraId="2B867A86" w14:textId="6BE49A79">
      <w:pPr>
        <w:ind w:left="567" w:hanging="567"/>
        <w:jc w:val="both"/>
        <w:rPr>
          <w:rFonts w:ascii="Verdana" w:hAnsi="Verdana"/>
          <w:sz w:val="22"/>
          <w:szCs w:val="22"/>
        </w:rPr>
      </w:pPr>
      <w:r w:rsidRPr="005A6CFE">
        <w:rPr>
          <w:rFonts w:ascii="Verdana" w:hAnsi="Verdana" w:cs="Arial"/>
          <w:color w:val="000000" w:themeColor="text1"/>
          <w:sz w:val="22"/>
          <w:szCs w:val="22"/>
        </w:rPr>
        <w:t>1.</w:t>
      </w:r>
      <w:r w:rsidR="00A3172E">
        <w:rPr>
          <w:rFonts w:ascii="Verdana" w:hAnsi="Verdana" w:cs="Arial"/>
          <w:color w:val="000000" w:themeColor="text1"/>
          <w:sz w:val="22"/>
          <w:szCs w:val="22"/>
        </w:rPr>
        <w:t>6</w:t>
      </w:r>
      <w:r w:rsidRPr="005A6CFE">
        <w:rPr>
          <w:rFonts w:ascii="Verdana" w:hAnsi="Verdana" w:cs="Arial"/>
          <w:color w:val="000000" w:themeColor="text1"/>
          <w:sz w:val="22"/>
          <w:szCs w:val="22"/>
        </w:rPr>
        <w:tab/>
      </w:r>
      <w:r w:rsidRPr="005A6CFE">
        <w:rPr>
          <w:rFonts w:ascii="Verdana" w:hAnsi="Verdana" w:cs="Arial"/>
          <w:color w:val="000000" w:themeColor="text1"/>
          <w:sz w:val="22"/>
          <w:szCs w:val="22"/>
        </w:rPr>
        <w:t>Under the new concession,</w:t>
      </w:r>
      <w:r w:rsidRPr="005A6CFE" w:rsidR="008274FB">
        <w:rPr>
          <w:rFonts w:ascii="Verdana" w:hAnsi="Verdana" w:cs="Arial"/>
          <w:color w:val="000000" w:themeColor="text1"/>
          <w:sz w:val="22"/>
          <w:szCs w:val="22"/>
        </w:rPr>
        <w:t xml:space="preserve"> </w:t>
      </w:r>
      <w:r w:rsidRPr="005A6CFE" w:rsidR="008274FB">
        <w:rPr>
          <w:rFonts w:ascii="Verdana" w:hAnsi="Verdana"/>
          <w:sz w:val="22"/>
          <w:szCs w:val="22"/>
        </w:rPr>
        <w:t xml:space="preserve">subject to planning, </w:t>
      </w:r>
      <w:r w:rsidR="003C3002">
        <w:rPr>
          <w:rFonts w:ascii="Verdana" w:hAnsi="Verdana"/>
          <w:sz w:val="22"/>
          <w:szCs w:val="22"/>
        </w:rPr>
        <w:t xml:space="preserve">the proposal is </w:t>
      </w:r>
      <w:r w:rsidRPr="008940C3" w:rsidR="000448A2">
        <w:rPr>
          <w:rFonts w:ascii="Verdana" w:hAnsi="Verdana"/>
          <w:sz w:val="22"/>
          <w:szCs w:val="22"/>
        </w:rPr>
        <w:t>for</w:t>
      </w:r>
      <w:r w:rsidRPr="008940C3">
        <w:rPr>
          <w:rFonts w:ascii="Verdana" w:hAnsi="Verdana" w:cs="Arial"/>
          <w:color w:val="000000" w:themeColor="text1"/>
          <w:sz w:val="22"/>
          <w:szCs w:val="22"/>
        </w:rPr>
        <w:t xml:space="preserve"> </w:t>
      </w:r>
      <w:r w:rsidRPr="008940C3" w:rsidR="003D55D1">
        <w:rPr>
          <w:rFonts w:ascii="Verdana" w:hAnsi="Verdana" w:cs="Arial"/>
          <w:color w:val="000000" w:themeColor="text1"/>
          <w:sz w:val="22"/>
          <w:szCs w:val="22"/>
        </w:rPr>
        <w:t xml:space="preserve">15 </w:t>
      </w:r>
      <w:r w:rsidRPr="008940C3">
        <w:rPr>
          <w:rFonts w:ascii="Verdana" w:hAnsi="Verdana"/>
          <w:sz w:val="22"/>
          <w:szCs w:val="22"/>
        </w:rPr>
        <w:t>replacement</w:t>
      </w:r>
      <w:r w:rsidRPr="008940C3" w:rsidR="00813AF3">
        <w:rPr>
          <w:rFonts w:ascii="Verdana" w:hAnsi="Verdana"/>
          <w:sz w:val="22"/>
          <w:szCs w:val="22"/>
        </w:rPr>
        <w:t xml:space="preserve"> </w:t>
      </w:r>
      <w:r w:rsidRPr="008940C3" w:rsidR="006F621C">
        <w:rPr>
          <w:rFonts w:ascii="Verdana" w:hAnsi="Verdana"/>
          <w:sz w:val="22"/>
          <w:szCs w:val="22"/>
        </w:rPr>
        <w:t xml:space="preserve">double-sided </w:t>
      </w:r>
      <w:r w:rsidRPr="008940C3">
        <w:rPr>
          <w:rFonts w:ascii="Verdana" w:hAnsi="Verdana"/>
          <w:sz w:val="22"/>
          <w:szCs w:val="22"/>
        </w:rPr>
        <w:t xml:space="preserve">digital </w:t>
      </w:r>
      <w:r w:rsidRPr="008940C3" w:rsidR="006F621C">
        <w:rPr>
          <w:rFonts w:ascii="Verdana" w:hAnsi="Verdana"/>
          <w:sz w:val="22"/>
          <w:szCs w:val="22"/>
        </w:rPr>
        <w:t>FSU’s</w:t>
      </w:r>
      <w:r w:rsidRPr="008940C3">
        <w:rPr>
          <w:rFonts w:ascii="Verdana" w:hAnsi="Verdana"/>
          <w:sz w:val="22"/>
          <w:szCs w:val="22"/>
        </w:rPr>
        <w:t>.</w:t>
      </w:r>
      <w:r w:rsidRPr="008940C3" w:rsidR="00813AF3">
        <w:rPr>
          <w:rFonts w:ascii="Verdana" w:hAnsi="Verdana"/>
          <w:sz w:val="22"/>
          <w:szCs w:val="22"/>
        </w:rPr>
        <w:t xml:space="preserve">  </w:t>
      </w:r>
      <w:r w:rsidRPr="008940C3">
        <w:rPr>
          <w:rFonts w:ascii="Verdana" w:hAnsi="Verdana"/>
          <w:sz w:val="22"/>
          <w:szCs w:val="22"/>
        </w:rPr>
        <w:t xml:space="preserve">The </w:t>
      </w:r>
      <w:r w:rsidRPr="008940C3" w:rsidR="008274FB">
        <w:rPr>
          <w:rFonts w:ascii="Verdana" w:hAnsi="Verdana"/>
          <w:sz w:val="22"/>
          <w:szCs w:val="22"/>
        </w:rPr>
        <w:t>outstanding 7 FSU’s will be removed</w:t>
      </w:r>
      <w:r w:rsidRPr="008940C3">
        <w:rPr>
          <w:rFonts w:ascii="Verdana" w:hAnsi="Verdana"/>
          <w:sz w:val="22"/>
          <w:szCs w:val="22"/>
        </w:rPr>
        <w:t>.</w:t>
      </w:r>
    </w:p>
    <w:p w:rsidRPr="005A6CFE" w:rsidR="00BC5858" w:rsidP="00B70B5E" w:rsidRDefault="00BC5858" w14:paraId="3F46874A" w14:textId="239DDA87">
      <w:pPr>
        <w:ind w:left="567" w:hanging="567"/>
        <w:jc w:val="both"/>
        <w:rPr>
          <w:rFonts w:ascii="Verdana" w:hAnsi="Verdana"/>
          <w:sz w:val="22"/>
          <w:szCs w:val="22"/>
        </w:rPr>
      </w:pPr>
    </w:p>
    <w:p w:rsidR="003A23D1" w:rsidP="003A23D1" w:rsidRDefault="003A23D1" w14:paraId="1CA5F1DC" w14:textId="5B590A16">
      <w:pPr>
        <w:ind w:left="567" w:hanging="567"/>
        <w:jc w:val="both"/>
        <w:rPr>
          <w:rFonts w:ascii="Verdana" w:hAnsi="Verdana"/>
          <w:sz w:val="22"/>
          <w:szCs w:val="22"/>
        </w:rPr>
      </w:pPr>
      <w:r w:rsidRPr="00507B55">
        <w:rPr>
          <w:rFonts w:ascii="Verdana" w:hAnsi="Verdana" w:cstheme="minorHAnsi"/>
          <w:sz w:val="22"/>
          <w:szCs w:val="22"/>
        </w:rPr>
        <w:t>1.</w:t>
      </w:r>
      <w:r w:rsidR="00A3172E">
        <w:rPr>
          <w:rFonts w:ascii="Verdana" w:hAnsi="Verdana" w:cstheme="minorHAnsi"/>
          <w:sz w:val="22"/>
          <w:szCs w:val="22"/>
        </w:rPr>
        <w:t>7</w:t>
      </w:r>
      <w:r w:rsidRPr="00507B55">
        <w:rPr>
          <w:rFonts w:ascii="Verdana" w:hAnsi="Verdana" w:cstheme="minorHAnsi"/>
          <w:sz w:val="22"/>
          <w:szCs w:val="22"/>
        </w:rPr>
        <w:tab/>
      </w:r>
      <w:r w:rsidRPr="00885FBD" w:rsidR="005C68D1">
        <w:rPr>
          <w:rFonts w:ascii="Verdana" w:hAnsi="Verdana" w:cstheme="minorHAnsi"/>
          <w:sz w:val="22"/>
          <w:szCs w:val="22"/>
        </w:rPr>
        <w:t>As noted, t</w:t>
      </w:r>
      <w:r w:rsidRPr="00885FBD">
        <w:rPr>
          <w:rFonts w:ascii="Verdana" w:hAnsi="Verdana" w:cstheme="minorHAnsi"/>
          <w:sz w:val="22"/>
          <w:szCs w:val="22"/>
        </w:rPr>
        <w:t xml:space="preserve">he new concession will see the </w:t>
      </w:r>
      <w:r w:rsidRPr="00885FBD" w:rsidR="005C68D1">
        <w:rPr>
          <w:rFonts w:ascii="Verdana" w:hAnsi="Verdana" w:cstheme="minorHAnsi"/>
          <w:sz w:val="22"/>
          <w:szCs w:val="22"/>
        </w:rPr>
        <w:t>Bus Shelter</w:t>
      </w:r>
      <w:r w:rsidR="00C05620">
        <w:rPr>
          <w:rFonts w:ascii="Verdana" w:hAnsi="Verdana" w:cstheme="minorHAnsi"/>
          <w:sz w:val="22"/>
          <w:szCs w:val="22"/>
        </w:rPr>
        <w:t xml:space="preserve"> </w:t>
      </w:r>
      <w:r w:rsidRPr="00885FBD" w:rsidR="005C68D1">
        <w:rPr>
          <w:rFonts w:ascii="Verdana" w:hAnsi="Verdana" w:cstheme="minorHAnsi"/>
          <w:sz w:val="22"/>
          <w:szCs w:val="22"/>
        </w:rPr>
        <w:t xml:space="preserve">advertising </w:t>
      </w:r>
      <w:r w:rsidR="003B222E">
        <w:rPr>
          <w:rFonts w:ascii="Verdana" w:hAnsi="Verdana" w:cstheme="minorHAnsi"/>
          <w:sz w:val="22"/>
          <w:szCs w:val="22"/>
        </w:rPr>
        <w:t xml:space="preserve">and FSU advertising </w:t>
      </w:r>
      <w:r w:rsidRPr="00885FBD">
        <w:rPr>
          <w:rFonts w:ascii="Verdana" w:hAnsi="Verdana" w:cstheme="minorHAnsi"/>
          <w:sz w:val="22"/>
          <w:szCs w:val="22"/>
        </w:rPr>
        <w:t>estate</w:t>
      </w:r>
      <w:r w:rsidR="003B222E">
        <w:rPr>
          <w:rFonts w:ascii="Verdana" w:hAnsi="Verdana" w:cstheme="minorHAnsi"/>
          <w:sz w:val="22"/>
          <w:szCs w:val="22"/>
        </w:rPr>
        <w:t>s</w:t>
      </w:r>
      <w:r w:rsidRPr="00885FBD">
        <w:rPr>
          <w:rFonts w:ascii="Verdana" w:hAnsi="Verdana" w:cstheme="minorHAnsi"/>
          <w:sz w:val="22"/>
          <w:szCs w:val="22"/>
        </w:rPr>
        <w:t xml:space="preserve"> </w:t>
      </w:r>
      <w:r w:rsidRPr="00885FBD" w:rsidR="004B327E">
        <w:rPr>
          <w:rFonts w:ascii="Verdana" w:hAnsi="Verdana" w:cstheme="minorHAnsi"/>
          <w:sz w:val="22"/>
          <w:szCs w:val="22"/>
        </w:rPr>
        <w:t>across the City</w:t>
      </w:r>
      <w:r w:rsidR="000728B5">
        <w:rPr>
          <w:rFonts w:ascii="Verdana" w:hAnsi="Verdana" w:cstheme="minorHAnsi"/>
          <w:sz w:val="22"/>
          <w:szCs w:val="22"/>
        </w:rPr>
        <w:t xml:space="preserve"> </w:t>
      </w:r>
      <w:r w:rsidRPr="00885FBD" w:rsidR="005C68D1">
        <w:rPr>
          <w:rFonts w:ascii="Verdana" w:hAnsi="Verdana" w:cstheme="minorHAnsi"/>
          <w:sz w:val="22"/>
          <w:szCs w:val="22"/>
        </w:rPr>
        <w:t>r</w:t>
      </w:r>
      <w:r w:rsidRPr="00885FBD">
        <w:rPr>
          <w:rFonts w:ascii="Verdana" w:hAnsi="Verdana" w:cstheme="minorHAnsi"/>
          <w:sz w:val="22"/>
          <w:szCs w:val="22"/>
        </w:rPr>
        <w:t>ationalized and reduced</w:t>
      </w:r>
      <w:r w:rsidR="00C05620">
        <w:rPr>
          <w:rFonts w:ascii="Verdana" w:hAnsi="Verdana" w:cstheme="minorHAnsi"/>
          <w:sz w:val="22"/>
          <w:szCs w:val="22"/>
        </w:rPr>
        <w:t>.</w:t>
      </w:r>
      <w:r w:rsidR="00296F7F">
        <w:rPr>
          <w:rFonts w:ascii="Verdana" w:hAnsi="Verdana" w:cstheme="minorHAnsi"/>
          <w:sz w:val="22"/>
          <w:szCs w:val="22"/>
        </w:rPr>
        <w:t xml:space="preserve"> </w:t>
      </w:r>
      <w:r w:rsidR="007E166E">
        <w:rPr>
          <w:rFonts w:ascii="Verdana" w:hAnsi="Verdana" w:cstheme="minorHAnsi"/>
          <w:sz w:val="22"/>
          <w:szCs w:val="22"/>
        </w:rPr>
        <w:t xml:space="preserve"> </w:t>
      </w:r>
      <w:r w:rsidR="00C05620">
        <w:rPr>
          <w:rFonts w:ascii="Verdana" w:hAnsi="Verdana" w:cstheme="minorHAnsi"/>
          <w:sz w:val="22"/>
          <w:szCs w:val="22"/>
        </w:rPr>
        <w:t xml:space="preserve">Each of the </w:t>
      </w:r>
      <w:r w:rsidR="00296F7F">
        <w:rPr>
          <w:rFonts w:ascii="Verdana" w:hAnsi="Verdana" w:cstheme="minorHAnsi"/>
          <w:sz w:val="22"/>
          <w:szCs w:val="22"/>
        </w:rPr>
        <w:t>existing</w:t>
      </w:r>
      <w:r w:rsidR="00C05620">
        <w:rPr>
          <w:rFonts w:ascii="Verdana" w:hAnsi="Verdana" w:cstheme="minorHAnsi"/>
          <w:sz w:val="22"/>
          <w:szCs w:val="22"/>
        </w:rPr>
        <w:t xml:space="preserve"> internally illuminated 6-sheet </w:t>
      </w:r>
      <w:r w:rsidR="00296F7F">
        <w:rPr>
          <w:rFonts w:ascii="Verdana" w:hAnsi="Verdana" w:cstheme="minorHAnsi"/>
          <w:sz w:val="22"/>
          <w:szCs w:val="22"/>
        </w:rPr>
        <w:t>‘classic</w:t>
      </w:r>
      <w:r w:rsidR="006F2080">
        <w:rPr>
          <w:rFonts w:ascii="Verdana" w:hAnsi="Verdana" w:cstheme="minorHAnsi"/>
          <w:sz w:val="22"/>
          <w:szCs w:val="22"/>
        </w:rPr>
        <w:t xml:space="preserve">’ </w:t>
      </w:r>
      <w:r w:rsidR="00C05620">
        <w:rPr>
          <w:rFonts w:ascii="Verdana" w:hAnsi="Verdana" w:cstheme="minorHAnsi"/>
          <w:sz w:val="22"/>
          <w:szCs w:val="22"/>
        </w:rPr>
        <w:t>advertising</w:t>
      </w:r>
      <w:r w:rsidR="006F2080">
        <w:rPr>
          <w:rFonts w:ascii="Verdana" w:hAnsi="Verdana" w:cstheme="minorHAnsi"/>
          <w:sz w:val="22"/>
          <w:szCs w:val="22"/>
        </w:rPr>
        <w:t xml:space="preserve"> </w:t>
      </w:r>
      <w:r w:rsidR="00C05620">
        <w:rPr>
          <w:rFonts w:ascii="Verdana" w:hAnsi="Verdana" w:cstheme="minorHAnsi"/>
          <w:sz w:val="22"/>
          <w:szCs w:val="22"/>
        </w:rPr>
        <w:t xml:space="preserve">displays measures 2sq.m.  </w:t>
      </w:r>
      <w:r w:rsidR="00CB2439">
        <w:rPr>
          <w:rFonts w:ascii="Verdana" w:hAnsi="Verdana" w:cstheme="minorHAnsi"/>
          <w:sz w:val="22"/>
          <w:szCs w:val="22"/>
        </w:rPr>
        <w:t>T</w:t>
      </w:r>
      <w:r w:rsidR="004929E2">
        <w:rPr>
          <w:rFonts w:ascii="Verdana" w:hAnsi="Verdana" w:cstheme="minorHAnsi"/>
          <w:sz w:val="22"/>
          <w:szCs w:val="22"/>
        </w:rPr>
        <w:t xml:space="preserve">he removal of </w:t>
      </w:r>
      <w:r w:rsidR="007F6F03">
        <w:rPr>
          <w:rFonts w:ascii="Verdana" w:hAnsi="Verdana" w:cstheme="minorHAnsi"/>
          <w:sz w:val="22"/>
          <w:szCs w:val="22"/>
        </w:rPr>
        <w:t>7 FSU’s</w:t>
      </w:r>
      <w:r w:rsidR="004929E2">
        <w:rPr>
          <w:rFonts w:ascii="Verdana" w:hAnsi="Verdana" w:cstheme="minorHAnsi"/>
          <w:sz w:val="22"/>
          <w:szCs w:val="22"/>
        </w:rPr>
        <w:t xml:space="preserve"> will therefore remove </w:t>
      </w:r>
      <w:r w:rsidR="00D72A2A">
        <w:rPr>
          <w:rFonts w:ascii="Verdana" w:hAnsi="Verdana" w:cstheme="minorHAnsi"/>
          <w:sz w:val="22"/>
          <w:szCs w:val="22"/>
        </w:rPr>
        <w:t>28</w:t>
      </w:r>
      <w:r w:rsidR="004929E2">
        <w:rPr>
          <w:rFonts w:ascii="Verdana" w:hAnsi="Verdana" w:cstheme="minorHAnsi"/>
          <w:sz w:val="22"/>
          <w:szCs w:val="22"/>
        </w:rPr>
        <w:t xml:space="preserve">sq.m of internally illuminated advertising from locations across the City, delivering </w:t>
      </w:r>
      <w:r w:rsidR="00822A3E">
        <w:rPr>
          <w:rFonts w:ascii="Verdana" w:hAnsi="Verdana" w:cstheme="minorHAnsi"/>
          <w:sz w:val="22"/>
          <w:szCs w:val="22"/>
        </w:rPr>
        <w:t xml:space="preserve">reasonably widespread </w:t>
      </w:r>
      <w:r w:rsidRPr="00885FBD" w:rsidR="005C68D1">
        <w:rPr>
          <w:rFonts w:ascii="Verdana" w:hAnsi="Verdana" w:cstheme="minorHAnsi"/>
          <w:sz w:val="22"/>
          <w:szCs w:val="22"/>
        </w:rPr>
        <w:t>declutter</w:t>
      </w:r>
      <w:r w:rsidR="004929E2">
        <w:rPr>
          <w:rFonts w:ascii="Verdana" w:hAnsi="Verdana" w:cstheme="minorHAnsi"/>
          <w:sz w:val="22"/>
          <w:szCs w:val="22"/>
        </w:rPr>
        <w:t>ing</w:t>
      </w:r>
      <w:r w:rsidRPr="00885FBD" w:rsidR="005C68D1">
        <w:rPr>
          <w:rFonts w:ascii="Verdana" w:hAnsi="Verdana" w:cstheme="minorHAnsi"/>
          <w:sz w:val="22"/>
          <w:szCs w:val="22"/>
        </w:rPr>
        <w:t xml:space="preserve"> </w:t>
      </w:r>
      <w:r w:rsidR="004929E2">
        <w:rPr>
          <w:rFonts w:ascii="Verdana" w:hAnsi="Verdana" w:cstheme="minorHAnsi"/>
          <w:sz w:val="22"/>
          <w:szCs w:val="22"/>
        </w:rPr>
        <w:t xml:space="preserve">of </w:t>
      </w:r>
      <w:r w:rsidRPr="00885FBD" w:rsidR="005C68D1">
        <w:rPr>
          <w:rFonts w:ascii="Verdana" w:hAnsi="Verdana" w:cstheme="minorHAnsi"/>
          <w:sz w:val="22"/>
          <w:szCs w:val="22"/>
        </w:rPr>
        <w:t xml:space="preserve">the </w:t>
      </w:r>
      <w:r w:rsidRPr="00885FBD">
        <w:rPr>
          <w:rFonts w:ascii="Verdana" w:hAnsi="Verdana" w:cstheme="minorHAnsi"/>
          <w:sz w:val="22"/>
          <w:szCs w:val="22"/>
        </w:rPr>
        <w:t xml:space="preserve">public realm </w:t>
      </w:r>
      <w:r w:rsidR="004929E2">
        <w:rPr>
          <w:rFonts w:ascii="Verdana" w:hAnsi="Verdana" w:cstheme="minorHAnsi"/>
          <w:sz w:val="22"/>
          <w:szCs w:val="22"/>
        </w:rPr>
        <w:t xml:space="preserve">and associated </w:t>
      </w:r>
      <w:r w:rsidRPr="00885FBD" w:rsidR="005C68D1">
        <w:rPr>
          <w:rFonts w:ascii="Verdana" w:hAnsi="Verdana"/>
          <w:sz w:val="22"/>
          <w:szCs w:val="22"/>
        </w:rPr>
        <w:t xml:space="preserve">amenity </w:t>
      </w:r>
      <w:r w:rsidRPr="00885FBD">
        <w:rPr>
          <w:rFonts w:ascii="Verdana" w:hAnsi="Verdana"/>
          <w:sz w:val="22"/>
          <w:szCs w:val="22"/>
        </w:rPr>
        <w:t>benefits.</w:t>
      </w:r>
    </w:p>
    <w:p w:rsidR="00644138" w:rsidP="003A23D1" w:rsidRDefault="00644138" w14:paraId="1C9BF97F" w14:textId="55543D2A">
      <w:pPr>
        <w:ind w:left="567" w:hanging="567"/>
        <w:jc w:val="both"/>
        <w:rPr>
          <w:rFonts w:ascii="Verdana" w:hAnsi="Verdana" w:cstheme="minorHAnsi"/>
          <w:sz w:val="22"/>
          <w:szCs w:val="22"/>
        </w:rPr>
      </w:pPr>
    </w:p>
    <w:p w:rsidR="00AC6129" w:rsidP="00E218D4" w:rsidRDefault="007F3164" w14:paraId="1C76CCC0" w14:textId="3C7A7347">
      <w:pPr>
        <w:ind w:left="567" w:hanging="567"/>
        <w:jc w:val="both"/>
        <w:rPr>
          <w:rFonts w:ascii="Verdana" w:hAnsi="Verdana" w:eastAsia="ArialMT" w:cs="ArialMT"/>
          <w:sz w:val="22"/>
          <w:szCs w:val="22"/>
          <w:lang w:val="en-GB"/>
        </w:rPr>
      </w:pPr>
      <w:r w:rsidRPr="005A6CFE">
        <w:rPr>
          <w:rFonts w:ascii="Verdana" w:hAnsi="Verdana" w:cs="Arial"/>
          <w:color w:val="000000" w:themeColor="text1"/>
          <w:sz w:val="22"/>
          <w:szCs w:val="22"/>
        </w:rPr>
        <w:t>1.</w:t>
      </w:r>
      <w:r w:rsidR="00A3172E">
        <w:rPr>
          <w:rFonts w:ascii="Verdana" w:hAnsi="Verdana" w:cs="Arial"/>
          <w:color w:val="000000" w:themeColor="text1"/>
          <w:sz w:val="22"/>
          <w:szCs w:val="22"/>
        </w:rPr>
        <w:t>8</w:t>
      </w:r>
      <w:r w:rsidRPr="005A6CFE">
        <w:rPr>
          <w:rFonts w:ascii="Verdana" w:hAnsi="Verdana" w:cs="Arial"/>
          <w:color w:val="000000" w:themeColor="text1"/>
          <w:sz w:val="22"/>
          <w:szCs w:val="22"/>
        </w:rPr>
        <w:tab/>
      </w:r>
      <w:r w:rsidR="00F5609D">
        <w:rPr>
          <w:rFonts w:ascii="Verdana" w:hAnsi="Verdana" w:cs="Arial"/>
          <w:color w:val="000000" w:themeColor="text1"/>
          <w:sz w:val="22"/>
          <w:szCs w:val="22"/>
        </w:rPr>
        <w:t>As noted above</w:t>
      </w:r>
      <w:r w:rsidRPr="005A6CFE">
        <w:rPr>
          <w:rFonts w:ascii="Verdana" w:hAnsi="Verdana" w:cs="Arial"/>
          <w:color w:val="000000" w:themeColor="text1"/>
          <w:sz w:val="22"/>
          <w:szCs w:val="22"/>
        </w:rPr>
        <w:t>,</w:t>
      </w:r>
      <w:r w:rsidR="00CA4ABF">
        <w:rPr>
          <w:rFonts w:ascii="Verdana" w:hAnsi="Verdana" w:cs="Arial"/>
          <w:color w:val="000000" w:themeColor="text1"/>
          <w:sz w:val="22"/>
          <w:szCs w:val="22"/>
        </w:rPr>
        <w:t xml:space="preserve"> </w:t>
      </w:r>
      <w:r w:rsidR="00E53FDF">
        <w:rPr>
          <w:rFonts w:ascii="Verdana" w:hAnsi="Verdana" w:cs="Arial"/>
          <w:color w:val="000000" w:themeColor="text1"/>
          <w:sz w:val="22"/>
          <w:szCs w:val="22"/>
        </w:rPr>
        <w:t xml:space="preserve">the new concession </w:t>
      </w:r>
      <w:r w:rsidRPr="005A6CFE">
        <w:rPr>
          <w:rFonts w:ascii="Verdana" w:hAnsi="Verdana" w:cs="Arial"/>
          <w:color w:val="000000" w:themeColor="text1"/>
          <w:sz w:val="22"/>
          <w:szCs w:val="22"/>
        </w:rPr>
        <w:t xml:space="preserve">proposes </w:t>
      </w:r>
      <w:r w:rsidR="00B53B02">
        <w:rPr>
          <w:rFonts w:ascii="Verdana" w:hAnsi="Verdana" w:cs="Arial"/>
          <w:color w:val="000000" w:themeColor="text1"/>
          <w:sz w:val="22"/>
          <w:szCs w:val="22"/>
        </w:rPr>
        <w:t xml:space="preserve">a number of </w:t>
      </w:r>
      <w:r w:rsidRPr="005A6CFE">
        <w:rPr>
          <w:rFonts w:ascii="Verdana" w:hAnsi="Verdana"/>
          <w:sz w:val="22"/>
          <w:szCs w:val="22"/>
        </w:rPr>
        <w:t xml:space="preserve">replacement </w:t>
      </w:r>
      <w:r w:rsidRPr="005A6CFE" w:rsidR="00D954C9">
        <w:rPr>
          <w:rFonts w:ascii="Verdana" w:hAnsi="Verdana"/>
          <w:sz w:val="22"/>
          <w:szCs w:val="22"/>
        </w:rPr>
        <w:t>digital</w:t>
      </w:r>
      <w:r w:rsidR="00D954C9">
        <w:rPr>
          <w:rFonts w:ascii="Verdana" w:hAnsi="Verdana"/>
          <w:sz w:val="22"/>
          <w:szCs w:val="22"/>
        </w:rPr>
        <w:t xml:space="preserve"> Bus Shelter </w:t>
      </w:r>
      <w:r w:rsidRPr="005A6CFE">
        <w:rPr>
          <w:rFonts w:ascii="Verdana" w:hAnsi="Verdana"/>
          <w:sz w:val="22"/>
          <w:szCs w:val="22"/>
        </w:rPr>
        <w:t>advertising displays</w:t>
      </w:r>
      <w:r w:rsidR="001A791B">
        <w:rPr>
          <w:rFonts w:ascii="Verdana" w:hAnsi="Verdana"/>
          <w:sz w:val="22"/>
          <w:szCs w:val="22"/>
        </w:rPr>
        <w:t>,</w:t>
      </w:r>
      <w:r w:rsidRPr="005A6CFE">
        <w:rPr>
          <w:rFonts w:ascii="Verdana" w:hAnsi="Verdana"/>
          <w:sz w:val="22"/>
          <w:szCs w:val="22"/>
        </w:rPr>
        <w:t xml:space="preserve"> comprising a mix of double-sided and single </w:t>
      </w:r>
      <w:r w:rsidR="00C31F33">
        <w:rPr>
          <w:rFonts w:ascii="Verdana" w:hAnsi="Verdana"/>
          <w:sz w:val="22"/>
          <w:szCs w:val="22"/>
        </w:rPr>
        <w:t xml:space="preserve">digital displays.  </w:t>
      </w:r>
      <w:r w:rsidR="00644138">
        <w:rPr>
          <w:rFonts w:ascii="Verdana" w:hAnsi="Verdana"/>
          <w:sz w:val="22"/>
          <w:szCs w:val="22"/>
        </w:rPr>
        <w:t xml:space="preserve">With the </w:t>
      </w:r>
      <w:r w:rsidR="006468C5">
        <w:rPr>
          <w:rFonts w:ascii="Verdana" w:hAnsi="Verdana"/>
          <w:sz w:val="22"/>
          <w:szCs w:val="22"/>
        </w:rPr>
        <w:t xml:space="preserve">latter </w:t>
      </w:r>
      <w:r w:rsidR="00933360">
        <w:rPr>
          <w:rFonts w:ascii="Verdana" w:hAnsi="Verdana"/>
          <w:sz w:val="22"/>
          <w:szCs w:val="22"/>
        </w:rPr>
        <w:t>single digital units</w:t>
      </w:r>
      <w:r w:rsidR="00AC6129">
        <w:rPr>
          <w:rFonts w:ascii="Verdana" w:hAnsi="Verdana"/>
          <w:sz w:val="22"/>
          <w:szCs w:val="22"/>
        </w:rPr>
        <w:t>,</w:t>
      </w:r>
      <w:r w:rsidR="00933360">
        <w:rPr>
          <w:rFonts w:ascii="Verdana" w:hAnsi="Verdana"/>
          <w:sz w:val="22"/>
          <w:szCs w:val="22"/>
        </w:rPr>
        <w:t xml:space="preserve"> </w:t>
      </w:r>
      <w:r w:rsidR="00546811">
        <w:rPr>
          <w:rFonts w:ascii="Verdana" w:hAnsi="Verdana"/>
          <w:sz w:val="22"/>
          <w:szCs w:val="22"/>
        </w:rPr>
        <w:t>t</w:t>
      </w:r>
      <w:r w:rsidR="006D50E0">
        <w:rPr>
          <w:rFonts w:ascii="Verdana" w:hAnsi="Verdana"/>
          <w:sz w:val="22"/>
          <w:szCs w:val="22"/>
        </w:rPr>
        <w:t>he reverse side w</w:t>
      </w:r>
      <w:r w:rsidR="007E166E">
        <w:rPr>
          <w:rFonts w:ascii="Verdana" w:hAnsi="Verdana"/>
          <w:sz w:val="22"/>
          <w:szCs w:val="22"/>
        </w:rPr>
        <w:t>ould</w:t>
      </w:r>
      <w:r w:rsidR="006D50E0">
        <w:rPr>
          <w:rFonts w:ascii="Verdana" w:hAnsi="Verdana"/>
          <w:sz w:val="22"/>
          <w:szCs w:val="22"/>
        </w:rPr>
        <w:t xml:space="preserve"> </w:t>
      </w:r>
      <w:r w:rsidR="008F3DD4">
        <w:rPr>
          <w:rFonts w:ascii="Verdana" w:hAnsi="Verdana"/>
          <w:sz w:val="22"/>
          <w:szCs w:val="22"/>
        </w:rPr>
        <w:t xml:space="preserve">feature a </w:t>
      </w:r>
      <w:r w:rsidR="00F00D39">
        <w:rPr>
          <w:rFonts w:ascii="Verdana" w:hAnsi="Verdana"/>
          <w:sz w:val="22"/>
          <w:szCs w:val="22"/>
        </w:rPr>
        <w:t>Non-advertising, n</w:t>
      </w:r>
      <w:r w:rsidRPr="00425AEB" w:rsidR="008F3DD4">
        <w:rPr>
          <w:rFonts w:ascii="Verdana" w:hAnsi="Verdana" w:eastAsia="ArialMT" w:cs="ArialMT"/>
          <w:sz w:val="22"/>
          <w:szCs w:val="22"/>
          <w:lang w:val="en-GB"/>
        </w:rPr>
        <w:t>on-illuminated</w:t>
      </w:r>
      <w:r w:rsidR="008F3DD4">
        <w:rPr>
          <w:rFonts w:ascii="Verdana" w:hAnsi="Verdana" w:eastAsia="ArialMT" w:cs="ArialMT"/>
          <w:sz w:val="22"/>
          <w:szCs w:val="22"/>
          <w:lang w:val="en-GB"/>
        </w:rPr>
        <w:t xml:space="preserve"> </w:t>
      </w:r>
      <w:r w:rsidRPr="00425AEB" w:rsidR="008F3DD4">
        <w:rPr>
          <w:rFonts w:ascii="Verdana" w:hAnsi="Verdana" w:eastAsia="ArialMT" w:cs="ArialMT"/>
          <w:sz w:val="22"/>
          <w:szCs w:val="22"/>
          <w:lang w:val="en-GB"/>
        </w:rPr>
        <w:t>graphic</w:t>
      </w:r>
      <w:r w:rsidR="008F3DD4">
        <w:rPr>
          <w:rFonts w:ascii="Verdana" w:hAnsi="Verdana" w:eastAsia="ArialMT" w:cs="ArialMT"/>
          <w:sz w:val="22"/>
          <w:szCs w:val="22"/>
          <w:lang w:val="en-GB"/>
        </w:rPr>
        <w:t xml:space="preserve"> </w:t>
      </w:r>
      <w:r w:rsidR="00291D59">
        <w:rPr>
          <w:rFonts w:ascii="Verdana" w:hAnsi="Verdana" w:eastAsia="ArialMT" w:cs="ArialMT"/>
          <w:sz w:val="22"/>
          <w:szCs w:val="22"/>
          <w:lang w:val="en-GB"/>
        </w:rPr>
        <w:t xml:space="preserve">space </w:t>
      </w:r>
      <w:r w:rsidR="00FA2C31">
        <w:rPr>
          <w:rFonts w:ascii="Verdana" w:hAnsi="Verdana" w:eastAsia="ArialMT" w:cs="ArialMT"/>
          <w:sz w:val="22"/>
          <w:szCs w:val="22"/>
          <w:lang w:val="en-GB"/>
        </w:rPr>
        <w:t xml:space="preserve">for </w:t>
      </w:r>
      <w:r w:rsidR="00291D59">
        <w:rPr>
          <w:rFonts w:ascii="Verdana" w:hAnsi="Verdana" w:eastAsia="ArialMT" w:cs="ArialMT"/>
          <w:sz w:val="22"/>
          <w:szCs w:val="22"/>
          <w:lang w:val="en-GB"/>
        </w:rPr>
        <w:t xml:space="preserve">dedicated </w:t>
      </w:r>
      <w:r w:rsidRPr="00425AEB" w:rsidR="008F3DD4">
        <w:rPr>
          <w:rFonts w:ascii="Verdana" w:hAnsi="Verdana" w:eastAsia="ArialMT" w:cs="ArialMT"/>
          <w:sz w:val="22"/>
          <w:szCs w:val="22"/>
          <w:lang w:val="en-GB"/>
        </w:rPr>
        <w:t xml:space="preserve">Council </w:t>
      </w:r>
      <w:r w:rsidR="00AC6129">
        <w:rPr>
          <w:rFonts w:ascii="Verdana" w:hAnsi="Verdana" w:eastAsia="ArialMT" w:cs="ArialMT"/>
          <w:sz w:val="22"/>
          <w:szCs w:val="22"/>
          <w:lang w:val="en-GB"/>
        </w:rPr>
        <w:t>or</w:t>
      </w:r>
      <w:r w:rsidR="008F3DD4">
        <w:rPr>
          <w:rFonts w:ascii="Verdana" w:hAnsi="Verdana" w:eastAsia="ArialMT" w:cs="ArialMT"/>
          <w:sz w:val="22"/>
          <w:szCs w:val="22"/>
          <w:lang w:val="en-GB"/>
        </w:rPr>
        <w:t xml:space="preserve"> </w:t>
      </w:r>
      <w:r w:rsidRPr="00425AEB" w:rsidR="008F3DD4">
        <w:rPr>
          <w:rFonts w:ascii="Verdana" w:hAnsi="Verdana" w:eastAsia="ArialMT" w:cs="ArialMT"/>
          <w:sz w:val="22"/>
          <w:szCs w:val="22"/>
          <w:lang w:val="en-GB"/>
        </w:rPr>
        <w:t>Community</w:t>
      </w:r>
      <w:r w:rsidR="008F3DD4">
        <w:rPr>
          <w:rFonts w:ascii="Verdana" w:hAnsi="Verdana" w:eastAsia="ArialMT" w:cs="ArialMT"/>
          <w:sz w:val="22"/>
          <w:szCs w:val="22"/>
          <w:lang w:val="en-GB"/>
        </w:rPr>
        <w:t xml:space="preserve"> </w:t>
      </w:r>
      <w:r w:rsidRPr="00425AEB" w:rsidR="008F3DD4">
        <w:rPr>
          <w:rFonts w:ascii="Verdana" w:hAnsi="Verdana" w:eastAsia="ArialMT" w:cs="ArialMT"/>
          <w:sz w:val="22"/>
          <w:szCs w:val="22"/>
          <w:lang w:val="en-GB"/>
        </w:rPr>
        <w:t>content</w:t>
      </w:r>
      <w:r w:rsidR="00FA2C31">
        <w:rPr>
          <w:rFonts w:ascii="Verdana" w:hAnsi="Verdana" w:eastAsia="ArialMT" w:cs="ArialMT"/>
          <w:sz w:val="22"/>
          <w:szCs w:val="22"/>
          <w:lang w:val="en-GB"/>
        </w:rPr>
        <w:t>.</w:t>
      </w:r>
    </w:p>
    <w:p w:rsidRPr="00507B55" w:rsidR="00AC6129" w:rsidP="00826A69" w:rsidRDefault="00AC6129" w14:paraId="6A84CA9E" w14:textId="77777777">
      <w:pPr>
        <w:pStyle w:val="NoSpacing"/>
        <w:ind w:left="567" w:hanging="567"/>
        <w:jc w:val="both"/>
        <w:rPr>
          <w:rFonts w:ascii="Verdana" w:hAnsi="Verdana"/>
          <w:sz w:val="22"/>
          <w:szCs w:val="22"/>
        </w:rPr>
      </w:pPr>
    </w:p>
    <w:p w:rsidRPr="00507B55" w:rsidR="008B3B94" w:rsidP="005C68D1" w:rsidRDefault="00656AE6" w14:paraId="52BB0D89" w14:textId="387ACE2B">
      <w:pPr>
        <w:pStyle w:val="NoSpacing"/>
        <w:ind w:left="567" w:hanging="567"/>
        <w:jc w:val="both"/>
        <w:rPr>
          <w:rFonts w:ascii="Verdana" w:hAnsi="Verdana"/>
          <w:sz w:val="22"/>
          <w:szCs w:val="22"/>
        </w:rPr>
      </w:pPr>
      <w:r w:rsidRPr="566F5AB2" w:rsidR="2C631615">
        <w:rPr>
          <w:rFonts w:ascii="Verdana" w:hAnsi="Verdana"/>
          <w:sz w:val="22"/>
          <w:szCs w:val="22"/>
        </w:rPr>
        <w:t>1.</w:t>
      </w:r>
      <w:r w:rsidRPr="566F5AB2" w:rsidR="5BE8854F">
        <w:rPr>
          <w:rFonts w:ascii="Verdana" w:hAnsi="Verdana"/>
          <w:sz w:val="22"/>
          <w:szCs w:val="22"/>
        </w:rPr>
        <w:t>9</w:t>
      </w:r>
      <w:r>
        <w:tab/>
      </w:r>
      <w:r w:rsidRPr="566F5AB2" w:rsidR="566E891E">
        <w:rPr>
          <w:rFonts w:ascii="Verdana" w:hAnsi="Verdana"/>
          <w:sz w:val="22"/>
          <w:szCs w:val="22"/>
        </w:rPr>
        <w:t xml:space="preserve">In summary, </w:t>
      </w:r>
      <w:r w:rsidRPr="566F5AB2" w:rsidR="092A2BBE">
        <w:rPr>
          <w:rFonts w:ascii="Verdana" w:hAnsi="Verdana"/>
          <w:sz w:val="22"/>
          <w:szCs w:val="22"/>
        </w:rPr>
        <w:t xml:space="preserve">the </w:t>
      </w:r>
      <w:r w:rsidRPr="566F5AB2" w:rsidR="70D6CA2B">
        <w:rPr>
          <w:rFonts w:ascii="Verdana" w:hAnsi="Verdana"/>
          <w:sz w:val="22"/>
          <w:szCs w:val="22"/>
        </w:rPr>
        <w:t xml:space="preserve">new concession </w:t>
      </w:r>
      <w:r w:rsidRPr="566F5AB2" w:rsidR="72645EDB">
        <w:rPr>
          <w:rFonts w:ascii="Verdana" w:hAnsi="Verdana"/>
          <w:sz w:val="22"/>
          <w:szCs w:val="22"/>
        </w:rPr>
        <w:t>w</w:t>
      </w:r>
      <w:r w:rsidRPr="566F5AB2" w:rsidR="37D58FA0">
        <w:rPr>
          <w:rFonts w:ascii="Verdana" w:hAnsi="Verdana"/>
          <w:sz w:val="22"/>
          <w:szCs w:val="22"/>
        </w:rPr>
        <w:t>ill deliver t</w:t>
      </w:r>
      <w:r w:rsidRPr="566F5AB2" w:rsidR="092A2BBE">
        <w:rPr>
          <w:rFonts w:ascii="Verdana" w:hAnsi="Verdana"/>
          <w:sz w:val="22"/>
          <w:szCs w:val="22"/>
        </w:rPr>
        <w:t xml:space="preserve">he following </w:t>
      </w:r>
      <w:r w:rsidRPr="566F5AB2" w:rsidR="247CD104">
        <w:rPr>
          <w:rFonts w:ascii="Verdana" w:hAnsi="Verdana"/>
          <w:sz w:val="22"/>
          <w:szCs w:val="22"/>
        </w:rPr>
        <w:t xml:space="preserve">significant </w:t>
      </w:r>
      <w:r w:rsidRPr="566F5AB2" w:rsidR="092A2BBE">
        <w:rPr>
          <w:rFonts w:ascii="Verdana" w:hAnsi="Verdana"/>
          <w:sz w:val="22"/>
          <w:szCs w:val="22"/>
        </w:rPr>
        <w:t>public benefits</w:t>
      </w:r>
      <w:r w:rsidRPr="566F5AB2" w:rsidR="70D6CA2B">
        <w:rPr>
          <w:rFonts w:ascii="Verdana" w:hAnsi="Verdana"/>
          <w:sz w:val="22"/>
          <w:szCs w:val="22"/>
        </w:rPr>
        <w:t xml:space="preserve"> for the City</w:t>
      </w:r>
      <w:r w:rsidRPr="566F5AB2" w:rsidR="6AFD693C">
        <w:rPr>
          <w:rFonts w:ascii="Verdana" w:hAnsi="Verdana"/>
          <w:sz w:val="22"/>
          <w:szCs w:val="22"/>
        </w:rPr>
        <w:t xml:space="preserve"> Council </w:t>
      </w:r>
      <w:r w:rsidRPr="566F5AB2" w:rsidR="51A9DA47">
        <w:rPr>
          <w:rFonts w:ascii="Verdana" w:hAnsi="Verdana"/>
          <w:sz w:val="22"/>
          <w:szCs w:val="22"/>
        </w:rPr>
        <w:t xml:space="preserve">and </w:t>
      </w:r>
      <w:r w:rsidRPr="566F5AB2" w:rsidR="10C4A854">
        <w:rPr>
          <w:rFonts w:ascii="Verdana" w:hAnsi="Verdana"/>
          <w:sz w:val="22"/>
          <w:szCs w:val="22"/>
        </w:rPr>
        <w:t>residents</w:t>
      </w:r>
      <w:r w:rsidRPr="566F5AB2" w:rsidR="31F5BC41">
        <w:rPr>
          <w:rFonts w:ascii="Verdana" w:hAnsi="Verdana"/>
          <w:sz w:val="22"/>
          <w:szCs w:val="22"/>
        </w:rPr>
        <w:t xml:space="preserve"> </w:t>
      </w:r>
      <w:r w:rsidRPr="566F5AB2" w:rsidR="0951E4BA">
        <w:rPr>
          <w:rFonts w:ascii="Verdana" w:hAnsi="Verdana"/>
          <w:sz w:val="22"/>
          <w:szCs w:val="22"/>
        </w:rPr>
        <w:t xml:space="preserve">of </w:t>
      </w:r>
      <w:r w:rsidRPr="566F5AB2" w:rsidR="3A42FDEF">
        <w:rPr>
          <w:rFonts w:ascii="Verdana" w:hAnsi="Verdana"/>
          <w:sz w:val="22"/>
          <w:szCs w:val="22"/>
        </w:rPr>
        <w:t>Cardiff</w:t>
      </w:r>
      <w:r w:rsidRPr="566F5AB2" w:rsidR="092A2BBE">
        <w:rPr>
          <w:rFonts w:ascii="Verdana" w:hAnsi="Verdana"/>
          <w:sz w:val="22"/>
          <w:szCs w:val="22"/>
        </w:rPr>
        <w:t>:</w:t>
      </w:r>
    </w:p>
    <w:p w:rsidRPr="00507B55" w:rsidR="008B3B94" w:rsidP="00780A70" w:rsidRDefault="008B3B94" w14:paraId="52BB0D8A" w14:textId="77777777">
      <w:pPr>
        <w:ind w:left="567" w:hanging="567"/>
        <w:jc w:val="both"/>
        <w:rPr>
          <w:rFonts w:ascii="Verdana" w:hAnsi="Verdana"/>
          <w:sz w:val="22"/>
          <w:szCs w:val="22"/>
        </w:rPr>
      </w:pPr>
    </w:p>
    <w:p w:rsidR="00380D42" w:rsidP="00592203" w:rsidRDefault="007922F3" w14:paraId="6F25DA2A" w14:textId="42532A0E">
      <w:pPr>
        <w:pStyle w:val="ListParagraph"/>
        <w:numPr>
          <w:ilvl w:val="0"/>
          <w:numId w:val="31"/>
        </w:numPr>
        <w:ind w:left="1134" w:hanging="567"/>
        <w:contextualSpacing w:val="0"/>
        <w:jc w:val="both"/>
        <w:rPr>
          <w:rFonts w:ascii="Verdana" w:hAnsi="Verdana"/>
          <w:sz w:val="22"/>
          <w:szCs w:val="22"/>
        </w:rPr>
      </w:pPr>
      <w:r w:rsidRPr="00380D42">
        <w:rPr>
          <w:rFonts w:ascii="Verdana" w:hAnsi="Verdana"/>
          <w:sz w:val="22"/>
          <w:szCs w:val="22"/>
        </w:rPr>
        <w:t>The replacement and therefore t</w:t>
      </w:r>
      <w:r w:rsidRPr="00380D42" w:rsidR="00F53093">
        <w:rPr>
          <w:rFonts w:ascii="Verdana" w:hAnsi="Verdana"/>
          <w:sz w:val="22"/>
          <w:szCs w:val="22"/>
        </w:rPr>
        <w:t>ransform</w:t>
      </w:r>
      <w:r w:rsidRPr="00380D42">
        <w:rPr>
          <w:rFonts w:ascii="Verdana" w:hAnsi="Verdana"/>
          <w:sz w:val="22"/>
          <w:szCs w:val="22"/>
        </w:rPr>
        <w:t xml:space="preserve">ation of the City’s </w:t>
      </w:r>
      <w:r w:rsidR="007E19E3">
        <w:rPr>
          <w:rFonts w:ascii="Verdana" w:hAnsi="Verdana"/>
          <w:sz w:val="22"/>
          <w:szCs w:val="22"/>
        </w:rPr>
        <w:t xml:space="preserve">entire </w:t>
      </w:r>
      <w:r w:rsidRPr="00380D42">
        <w:rPr>
          <w:rFonts w:ascii="Verdana" w:hAnsi="Verdana"/>
          <w:sz w:val="22"/>
          <w:szCs w:val="22"/>
        </w:rPr>
        <w:t>Bus Shelter estate;</w:t>
      </w:r>
    </w:p>
    <w:p w:rsidRPr="00380D42" w:rsidR="00C86BA6" w:rsidP="00592203" w:rsidRDefault="00FE020D" w14:paraId="76E41B05" w14:textId="70760039">
      <w:pPr>
        <w:pStyle w:val="ListParagraph"/>
        <w:numPr>
          <w:ilvl w:val="0"/>
          <w:numId w:val="31"/>
        </w:numPr>
        <w:ind w:left="1134" w:hanging="567"/>
        <w:contextualSpacing w:val="0"/>
        <w:jc w:val="both"/>
        <w:rPr>
          <w:rFonts w:ascii="Verdana" w:hAnsi="Verdana"/>
          <w:sz w:val="22"/>
          <w:szCs w:val="22"/>
        </w:rPr>
      </w:pPr>
      <w:r>
        <w:rPr>
          <w:rFonts w:ascii="Verdana" w:hAnsi="Verdana"/>
          <w:sz w:val="22"/>
          <w:szCs w:val="22"/>
        </w:rPr>
        <w:t>T</w:t>
      </w:r>
      <w:r w:rsidRPr="00380D42" w:rsidR="00380D42">
        <w:rPr>
          <w:rFonts w:ascii="Verdana" w:hAnsi="Verdana"/>
          <w:sz w:val="22"/>
          <w:szCs w:val="22"/>
        </w:rPr>
        <w:t xml:space="preserve">ransformed </w:t>
      </w:r>
      <w:r w:rsidRPr="00380D42" w:rsidR="00EF70DC">
        <w:rPr>
          <w:rFonts w:ascii="Verdana" w:hAnsi="Verdana"/>
          <w:sz w:val="22"/>
          <w:szCs w:val="22"/>
        </w:rPr>
        <w:t xml:space="preserve">and </w:t>
      </w:r>
      <w:r>
        <w:rPr>
          <w:rFonts w:ascii="Verdana" w:hAnsi="Verdana"/>
          <w:sz w:val="22"/>
          <w:szCs w:val="22"/>
        </w:rPr>
        <w:t xml:space="preserve">also </w:t>
      </w:r>
      <w:r w:rsidRPr="00380D42" w:rsidR="00EF70DC">
        <w:rPr>
          <w:rFonts w:ascii="Verdana" w:hAnsi="Verdana"/>
          <w:sz w:val="22"/>
          <w:szCs w:val="22"/>
        </w:rPr>
        <w:t xml:space="preserve">rationalized </w:t>
      </w:r>
      <w:r w:rsidRPr="00380D42" w:rsidR="00F53093">
        <w:rPr>
          <w:rFonts w:ascii="Verdana" w:hAnsi="Verdana"/>
          <w:sz w:val="22"/>
          <w:szCs w:val="22"/>
        </w:rPr>
        <w:t xml:space="preserve">Bus Shelter </w:t>
      </w:r>
      <w:r w:rsidRPr="00380D42" w:rsidR="00EF70DC">
        <w:rPr>
          <w:rFonts w:ascii="Verdana" w:hAnsi="Verdana"/>
          <w:sz w:val="22"/>
          <w:szCs w:val="22"/>
        </w:rPr>
        <w:t xml:space="preserve">and FSU </w:t>
      </w:r>
      <w:r w:rsidRPr="00380D42" w:rsidR="00F53093">
        <w:rPr>
          <w:rFonts w:ascii="Verdana" w:hAnsi="Verdana"/>
          <w:sz w:val="22"/>
          <w:szCs w:val="22"/>
        </w:rPr>
        <w:t>advertising estate</w:t>
      </w:r>
      <w:r w:rsidRPr="00380D42" w:rsidR="00EF70DC">
        <w:rPr>
          <w:rFonts w:ascii="Verdana" w:hAnsi="Verdana"/>
          <w:sz w:val="22"/>
          <w:szCs w:val="22"/>
        </w:rPr>
        <w:t xml:space="preserve">s </w:t>
      </w:r>
      <w:r w:rsidRPr="00380D42" w:rsidR="00380D42">
        <w:rPr>
          <w:rFonts w:ascii="Verdana" w:hAnsi="Verdana"/>
          <w:sz w:val="22"/>
          <w:szCs w:val="22"/>
        </w:rPr>
        <w:t>for</w:t>
      </w:r>
      <w:r w:rsidRPr="00380D42" w:rsidR="00EF70DC">
        <w:rPr>
          <w:rFonts w:ascii="Verdana" w:hAnsi="Verdana"/>
          <w:sz w:val="22"/>
          <w:szCs w:val="22"/>
        </w:rPr>
        <w:t xml:space="preserve"> the City</w:t>
      </w:r>
      <w:r w:rsidRPr="00380D42" w:rsidR="00C86BA6">
        <w:rPr>
          <w:rFonts w:ascii="Verdana" w:hAnsi="Verdana"/>
          <w:sz w:val="22"/>
          <w:szCs w:val="22"/>
        </w:rPr>
        <w:t>;</w:t>
      </w:r>
    </w:p>
    <w:p w:rsidRPr="00E70058" w:rsidR="00E70058" w:rsidP="00592203" w:rsidRDefault="00B33308" w14:paraId="360AEC89" w14:textId="1C5FC153">
      <w:pPr>
        <w:pStyle w:val="ListParagraph"/>
        <w:numPr>
          <w:ilvl w:val="0"/>
          <w:numId w:val="31"/>
        </w:numPr>
        <w:ind w:left="1134" w:hanging="567"/>
        <w:contextualSpacing w:val="0"/>
        <w:jc w:val="both"/>
        <w:rPr>
          <w:rFonts w:ascii="Verdana" w:hAnsi="Verdana"/>
          <w:sz w:val="22"/>
          <w:szCs w:val="22"/>
        </w:rPr>
      </w:pPr>
      <w:r w:rsidRPr="00E70058">
        <w:rPr>
          <w:rFonts w:ascii="Verdana" w:hAnsi="Verdana"/>
          <w:color w:val="000000" w:themeColor="text1"/>
          <w:sz w:val="22"/>
          <w:szCs w:val="22"/>
        </w:rPr>
        <w:t xml:space="preserve">Significant income </w:t>
      </w:r>
      <w:r w:rsidR="00645C6F">
        <w:rPr>
          <w:rFonts w:ascii="Verdana" w:hAnsi="Verdana"/>
          <w:color w:val="000000" w:themeColor="text1"/>
          <w:sz w:val="22"/>
          <w:szCs w:val="22"/>
        </w:rPr>
        <w:t xml:space="preserve">stream </w:t>
      </w:r>
      <w:r w:rsidRPr="00E70058">
        <w:rPr>
          <w:rFonts w:ascii="Verdana" w:hAnsi="Verdana"/>
          <w:color w:val="000000" w:themeColor="text1"/>
          <w:sz w:val="22"/>
          <w:szCs w:val="22"/>
        </w:rPr>
        <w:t>for the City Council;</w:t>
      </w:r>
    </w:p>
    <w:p w:rsidRPr="00E70058" w:rsidR="00800C9C" w:rsidP="00592203" w:rsidRDefault="00C46867" w14:paraId="47DB8E39" w14:textId="7BBFA651">
      <w:pPr>
        <w:pStyle w:val="ListParagraph"/>
        <w:numPr>
          <w:ilvl w:val="0"/>
          <w:numId w:val="31"/>
        </w:numPr>
        <w:ind w:left="1134" w:hanging="567"/>
        <w:contextualSpacing w:val="0"/>
        <w:jc w:val="both"/>
        <w:rPr>
          <w:rFonts w:ascii="Verdana" w:hAnsi="Verdana"/>
          <w:sz w:val="22"/>
          <w:szCs w:val="22"/>
        </w:rPr>
      </w:pPr>
      <w:r>
        <w:rPr>
          <w:rFonts w:ascii="Verdana" w:hAnsi="Verdana"/>
          <w:sz w:val="22"/>
          <w:szCs w:val="22"/>
        </w:rPr>
        <w:t>T</w:t>
      </w:r>
      <w:r w:rsidRPr="00E70058" w:rsidR="00C86BA6">
        <w:rPr>
          <w:rFonts w:ascii="Verdana" w:hAnsi="Verdana"/>
          <w:sz w:val="22"/>
          <w:szCs w:val="22"/>
        </w:rPr>
        <w:t xml:space="preserve">he removal of </w:t>
      </w:r>
      <w:r w:rsidR="00DF4897">
        <w:rPr>
          <w:rFonts w:ascii="Verdana" w:hAnsi="Verdana"/>
          <w:sz w:val="22"/>
          <w:szCs w:val="22"/>
        </w:rPr>
        <w:t xml:space="preserve">numerous </w:t>
      </w:r>
      <w:r w:rsidRPr="00E70058" w:rsidR="00C86BA6">
        <w:rPr>
          <w:rFonts w:ascii="Verdana" w:hAnsi="Verdana"/>
          <w:sz w:val="22"/>
          <w:szCs w:val="22"/>
        </w:rPr>
        <w:t xml:space="preserve">existing internally illuminated 6-sheet </w:t>
      </w:r>
      <w:r>
        <w:rPr>
          <w:rFonts w:ascii="Verdana" w:hAnsi="Verdana"/>
          <w:sz w:val="22"/>
          <w:szCs w:val="22"/>
        </w:rPr>
        <w:t xml:space="preserve">Bus Shelter </w:t>
      </w:r>
      <w:r w:rsidRPr="00E70058" w:rsidR="00C86BA6">
        <w:rPr>
          <w:rFonts w:ascii="Verdana" w:hAnsi="Verdana"/>
          <w:sz w:val="22"/>
          <w:szCs w:val="22"/>
        </w:rPr>
        <w:t>advertising displays</w:t>
      </w:r>
      <w:r w:rsidR="003422A9">
        <w:rPr>
          <w:rFonts w:ascii="Verdana" w:hAnsi="Verdana"/>
          <w:sz w:val="22"/>
          <w:szCs w:val="22"/>
        </w:rPr>
        <w:t xml:space="preserve"> across the City</w:t>
      </w:r>
      <w:r w:rsidRPr="00E70058" w:rsidR="00DD5E0A">
        <w:rPr>
          <w:rFonts w:ascii="Verdana" w:hAnsi="Verdana"/>
          <w:sz w:val="22"/>
          <w:szCs w:val="22"/>
        </w:rPr>
        <w:t>;</w:t>
      </w:r>
    </w:p>
    <w:p w:rsidRPr="00800C9C" w:rsidR="00800C9C" w:rsidP="00592203" w:rsidRDefault="003422A9" w14:paraId="2CCA3EBF" w14:textId="3452CA14">
      <w:pPr>
        <w:pStyle w:val="ListParagraph"/>
        <w:numPr>
          <w:ilvl w:val="0"/>
          <w:numId w:val="31"/>
        </w:numPr>
        <w:ind w:left="1134" w:hanging="567"/>
        <w:contextualSpacing w:val="0"/>
        <w:jc w:val="both"/>
        <w:rPr>
          <w:rFonts w:ascii="Verdana" w:hAnsi="Verdana"/>
          <w:sz w:val="22"/>
          <w:szCs w:val="22"/>
        </w:rPr>
      </w:pPr>
      <w:r>
        <w:rPr>
          <w:rFonts w:ascii="Verdana" w:hAnsi="Verdana"/>
          <w:sz w:val="22"/>
          <w:szCs w:val="22"/>
        </w:rPr>
        <w:t xml:space="preserve">The </w:t>
      </w:r>
      <w:r w:rsidRPr="00800C9C" w:rsidR="00800C9C">
        <w:rPr>
          <w:rFonts w:ascii="Verdana" w:hAnsi="Verdana"/>
          <w:sz w:val="22"/>
          <w:szCs w:val="22"/>
        </w:rPr>
        <w:t xml:space="preserve">removal of </w:t>
      </w:r>
      <w:r w:rsidR="00ED2444">
        <w:rPr>
          <w:rFonts w:ascii="Verdana" w:hAnsi="Verdana"/>
          <w:sz w:val="22"/>
          <w:szCs w:val="22"/>
        </w:rPr>
        <w:t xml:space="preserve">7 </w:t>
      </w:r>
      <w:r w:rsidRPr="00800C9C" w:rsidR="00800C9C">
        <w:rPr>
          <w:rFonts w:ascii="Verdana" w:hAnsi="Verdana"/>
          <w:sz w:val="22"/>
          <w:szCs w:val="22"/>
        </w:rPr>
        <w:t xml:space="preserve">existing </w:t>
      </w:r>
      <w:r w:rsidR="00ED2444">
        <w:rPr>
          <w:rFonts w:ascii="Verdana" w:hAnsi="Verdana"/>
          <w:sz w:val="22"/>
          <w:szCs w:val="22"/>
        </w:rPr>
        <w:t>FSU’s</w:t>
      </w:r>
      <w:r>
        <w:rPr>
          <w:rFonts w:ascii="Verdana" w:hAnsi="Verdana"/>
          <w:sz w:val="22"/>
          <w:szCs w:val="22"/>
        </w:rPr>
        <w:t xml:space="preserve"> across the City</w:t>
      </w:r>
      <w:r w:rsidRPr="00800C9C" w:rsidR="00800C9C">
        <w:rPr>
          <w:rFonts w:ascii="Verdana" w:hAnsi="Verdana"/>
          <w:sz w:val="22"/>
          <w:szCs w:val="22"/>
        </w:rPr>
        <w:t>;</w:t>
      </w:r>
    </w:p>
    <w:p w:rsidRPr="007E67DE" w:rsidR="002C04DB" w:rsidP="00592203" w:rsidRDefault="003422A9" w14:paraId="4BC35477" w14:textId="6E6005F7">
      <w:pPr>
        <w:pStyle w:val="ListParagraph"/>
        <w:numPr>
          <w:ilvl w:val="0"/>
          <w:numId w:val="31"/>
        </w:numPr>
        <w:ind w:left="1134" w:hanging="567"/>
        <w:contextualSpacing w:val="0"/>
        <w:jc w:val="both"/>
        <w:rPr>
          <w:rFonts w:ascii="Verdana" w:hAnsi="Verdana"/>
          <w:color w:val="000000" w:themeColor="text1"/>
          <w:sz w:val="22"/>
          <w:szCs w:val="22"/>
        </w:rPr>
      </w:pPr>
      <w:r>
        <w:rPr>
          <w:rFonts w:ascii="Verdana" w:hAnsi="Verdana" w:eastAsia="Times New Roman"/>
          <w:color w:val="000000" w:themeColor="text1"/>
          <w:sz w:val="22"/>
          <w:szCs w:val="22"/>
          <w:lang w:eastAsia="en-GB"/>
        </w:rPr>
        <w:t xml:space="preserve">The </w:t>
      </w:r>
      <w:r w:rsidR="003C33E3">
        <w:rPr>
          <w:rFonts w:ascii="Verdana" w:hAnsi="Verdana" w:eastAsia="Times New Roman"/>
          <w:color w:val="000000" w:themeColor="text1"/>
          <w:sz w:val="22"/>
          <w:szCs w:val="22"/>
          <w:lang w:eastAsia="en-GB"/>
        </w:rPr>
        <w:t xml:space="preserve">Council </w:t>
      </w:r>
      <w:r>
        <w:rPr>
          <w:rFonts w:ascii="Verdana" w:hAnsi="Verdana" w:eastAsia="Times New Roman"/>
          <w:color w:val="000000" w:themeColor="text1"/>
          <w:sz w:val="22"/>
          <w:szCs w:val="22"/>
          <w:lang w:eastAsia="en-GB"/>
        </w:rPr>
        <w:t xml:space="preserve">will have </w:t>
      </w:r>
      <w:r w:rsidR="003C33E3">
        <w:rPr>
          <w:rFonts w:ascii="Verdana" w:hAnsi="Verdana" w:eastAsia="Times New Roman"/>
          <w:color w:val="000000" w:themeColor="text1"/>
          <w:sz w:val="22"/>
          <w:szCs w:val="22"/>
          <w:lang w:eastAsia="en-GB"/>
        </w:rPr>
        <w:t xml:space="preserve">access to </w:t>
      </w:r>
      <w:r w:rsidRPr="007E67DE" w:rsidR="005E3141">
        <w:rPr>
          <w:rFonts w:ascii="Verdana" w:hAnsi="Verdana" w:eastAsia="Times New Roman"/>
          <w:color w:val="000000" w:themeColor="text1"/>
          <w:sz w:val="22"/>
          <w:szCs w:val="22"/>
          <w:lang w:eastAsia="en-GB"/>
        </w:rPr>
        <w:t xml:space="preserve">display </w:t>
      </w:r>
      <w:r w:rsidRPr="007E67DE" w:rsidR="00CA56F1">
        <w:rPr>
          <w:rFonts w:ascii="Verdana" w:hAnsi="Verdana" w:eastAsia="Times New Roman"/>
          <w:color w:val="000000" w:themeColor="text1"/>
          <w:sz w:val="22"/>
          <w:szCs w:val="22"/>
          <w:lang w:eastAsia="en-GB"/>
        </w:rPr>
        <w:t xml:space="preserve">time on </w:t>
      </w:r>
      <w:r w:rsidRPr="007E67DE" w:rsidR="00C86BA6">
        <w:rPr>
          <w:rFonts w:ascii="Verdana" w:hAnsi="Verdana" w:eastAsia="Times New Roman"/>
          <w:color w:val="000000" w:themeColor="text1"/>
          <w:sz w:val="22"/>
          <w:szCs w:val="22"/>
          <w:lang w:eastAsia="en-GB"/>
        </w:rPr>
        <w:t xml:space="preserve">the </w:t>
      </w:r>
      <w:r w:rsidRPr="007E67DE" w:rsidR="00CA56F1">
        <w:rPr>
          <w:rFonts w:ascii="Verdana" w:hAnsi="Verdana" w:eastAsia="Times New Roman"/>
          <w:color w:val="000000" w:themeColor="text1"/>
          <w:sz w:val="22"/>
          <w:szCs w:val="22"/>
          <w:lang w:eastAsia="en-GB"/>
        </w:rPr>
        <w:t xml:space="preserve">proposed </w:t>
      </w:r>
      <w:r w:rsidRPr="007E67DE" w:rsidR="00C86BA6">
        <w:rPr>
          <w:rFonts w:ascii="Verdana" w:hAnsi="Verdana" w:eastAsia="Times New Roman"/>
          <w:color w:val="000000" w:themeColor="text1"/>
          <w:sz w:val="22"/>
          <w:szCs w:val="22"/>
          <w:lang w:eastAsia="en-GB"/>
        </w:rPr>
        <w:t>D</w:t>
      </w:r>
      <w:r w:rsidRPr="007E67DE" w:rsidR="00CA56F1">
        <w:rPr>
          <w:rFonts w:ascii="Verdana" w:hAnsi="Verdana" w:eastAsia="Times New Roman"/>
          <w:color w:val="000000" w:themeColor="text1"/>
          <w:sz w:val="22"/>
          <w:szCs w:val="22"/>
          <w:lang w:eastAsia="en-GB"/>
        </w:rPr>
        <w:t>igital displays for Council content</w:t>
      </w:r>
      <w:r w:rsidRPr="007E67DE" w:rsidR="00C86BA6">
        <w:rPr>
          <w:rFonts w:ascii="Verdana" w:hAnsi="Verdana" w:eastAsia="Times New Roman"/>
          <w:color w:val="000000" w:themeColor="text1"/>
          <w:sz w:val="22"/>
          <w:szCs w:val="22"/>
          <w:lang w:eastAsia="en-GB"/>
        </w:rPr>
        <w:t xml:space="preserve">, including </w:t>
      </w:r>
      <w:r w:rsidR="0015683A">
        <w:rPr>
          <w:rFonts w:ascii="Verdana" w:hAnsi="Verdana" w:eastAsia="Times New Roman"/>
          <w:color w:val="000000" w:themeColor="text1"/>
          <w:sz w:val="22"/>
          <w:szCs w:val="22"/>
          <w:lang w:eastAsia="en-GB"/>
        </w:rPr>
        <w:t xml:space="preserve">important public health and </w:t>
      </w:r>
      <w:r w:rsidRPr="007E67DE" w:rsidR="00C86BA6">
        <w:rPr>
          <w:rFonts w:ascii="Verdana" w:hAnsi="Verdana" w:eastAsia="Times New Roman"/>
          <w:color w:val="000000" w:themeColor="text1"/>
          <w:sz w:val="22"/>
          <w:szCs w:val="22"/>
          <w:lang w:eastAsia="en-GB"/>
        </w:rPr>
        <w:t>emergency messaging</w:t>
      </w:r>
      <w:r w:rsidRPr="007E67DE" w:rsidR="008612E8">
        <w:rPr>
          <w:rFonts w:ascii="Verdana" w:hAnsi="Verdana" w:eastAsia="Times New Roman"/>
          <w:color w:val="000000" w:themeColor="text1"/>
          <w:sz w:val="22"/>
          <w:szCs w:val="22"/>
          <w:lang w:eastAsia="en-GB"/>
        </w:rPr>
        <w:t>;</w:t>
      </w:r>
    </w:p>
    <w:p w:rsidRPr="00930146" w:rsidR="00930146" w:rsidP="00592203" w:rsidRDefault="00B33308" w14:paraId="33228A27" w14:textId="7C37DF88">
      <w:pPr>
        <w:pStyle w:val="ListParagraph"/>
        <w:numPr>
          <w:ilvl w:val="0"/>
          <w:numId w:val="31"/>
        </w:numPr>
        <w:ind w:left="1134" w:hanging="567"/>
        <w:contextualSpacing w:val="0"/>
        <w:jc w:val="both"/>
        <w:rPr>
          <w:rFonts w:ascii="Verdana" w:hAnsi="Verdana" w:cs="Tahoma"/>
          <w:sz w:val="22"/>
          <w:szCs w:val="22"/>
        </w:rPr>
      </w:pPr>
      <w:r w:rsidRPr="00930146">
        <w:rPr>
          <w:rFonts w:ascii="Verdana" w:hAnsi="Verdana"/>
          <w:color w:val="000000" w:themeColor="text1"/>
          <w:sz w:val="22"/>
          <w:szCs w:val="22"/>
        </w:rPr>
        <w:t xml:space="preserve">For Single digital units, </w:t>
      </w:r>
      <w:r w:rsidRPr="00930146">
        <w:rPr>
          <w:rFonts w:ascii="Verdana" w:hAnsi="Verdana"/>
          <w:sz w:val="22"/>
          <w:szCs w:val="22"/>
        </w:rPr>
        <w:t xml:space="preserve">the reverse side will feature a </w:t>
      </w:r>
      <w:r w:rsidR="007C04C0">
        <w:rPr>
          <w:rFonts w:ascii="Verdana" w:hAnsi="Verdana"/>
          <w:sz w:val="22"/>
          <w:szCs w:val="22"/>
        </w:rPr>
        <w:t>Non-advertising, n</w:t>
      </w:r>
      <w:r w:rsidRPr="00930146">
        <w:rPr>
          <w:rFonts w:ascii="Verdana" w:hAnsi="Verdana" w:eastAsia="ArialMT" w:cs="ArialMT"/>
          <w:sz w:val="22"/>
          <w:szCs w:val="22"/>
          <w:lang w:val="en-GB"/>
        </w:rPr>
        <w:t>on-illuminated graphic space for</w:t>
      </w:r>
      <w:r w:rsidRPr="00930146" w:rsidR="00930146">
        <w:rPr>
          <w:rFonts w:ascii="Verdana" w:hAnsi="Verdana" w:eastAsia="ArialMT" w:cs="ArialMT"/>
          <w:sz w:val="22"/>
          <w:szCs w:val="22"/>
          <w:lang w:val="en-GB"/>
        </w:rPr>
        <w:t xml:space="preserve"> </w:t>
      </w:r>
      <w:r w:rsidRPr="00930146">
        <w:rPr>
          <w:rFonts w:ascii="Verdana" w:hAnsi="Verdana" w:eastAsia="ArialMT" w:cs="ArialMT"/>
          <w:sz w:val="22"/>
          <w:szCs w:val="22"/>
          <w:lang w:val="en-GB"/>
        </w:rPr>
        <w:t xml:space="preserve">dedicated Council or Community content, including </w:t>
      </w:r>
      <w:r w:rsidR="005B07DA">
        <w:rPr>
          <w:rFonts w:ascii="Verdana" w:hAnsi="Verdana" w:eastAsia="ArialMT" w:cs="ArialMT"/>
          <w:sz w:val="22"/>
          <w:szCs w:val="22"/>
          <w:lang w:val="en-GB"/>
        </w:rPr>
        <w:t xml:space="preserve">public </w:t>
      </w:r>
      <w:r w:rsidRPr="00930146">
        <w:rPr>
          <w:rFonts w:ascii="Verdana" w:hAnsi="Verdana" w:eastAsia="ArialMT" w:cs="ArialMT"/>
          <w:sz w:val="22"/>
          <w:szCs w:val="22"/>
          <w:lang w:val="en-GB"/>
        </w:rPr>
        <w:t>street art;</w:t>
      </w:r>
    </w:p>
    <w:p w:rsidR="0083115B" w:rsidP="00592203" w:rsidRDefault="00521059" w14:paraId="703EFADB" w14:textId="4809D88F">
      <w:pPr>
        <w:pStyle w:val="ListParagraph"/>
        <w:numPr>
          <w:ilvl w:val="0"/>
          <w:numId w:val="31"/>
        </w:numPr>
        <w:ind w:left="1134" w:hanging="567"/>
        <w:contextualSpacing w:val="0"/>
        <w:jc w:val="both"/>
        <w:rPr>
          <w:rFonts w:ascii="Verdana" w:hAnsi="Verdana"/>
          <w:sz w:val="22"/>
          <w:szCs w:val="22"/>
        </w:rPr>
      </w:pPr>
      <w:r w:rsidRPr="00592203">
        <w:rPr>
          <w:rFonts w:ascii="Verdana" w:hAnsi="Verdana"/>
          <w:color w:val="000000" w:themeColor="text1"/>
          <w:sz w:val="22"/>
          <w:szCs w:val="22"/>
        </w:rPr>
        <w:t>A c</w:t>
      </w:r>
      <w:r w:rsidRPr="00592203" w:rsidR="00DD5E0A">
        <w:rPr>
          <w:rFonts w:ascii="Verdana" w:hAnsi="Verdana"/>
          <w:color w:val="000000" w:themeColor="text1"/>
          <w:sz w:val="22"/>
          <w:szCs w:val="22"/>
        </w:rPr>
        <w:t xml:space="preserve">omprehensive </w:t>
      </w:r>
      <w:r w:rsidRPr="00592203" w:rsidR="007612D9">
        <w:rPr>
          <w:rFonts w:ascii="Verdana" w:hAnsi="Verdana"/>
          <w:color w:val="000000" w:themeColor="text1"/>
          <w:sz w:val="22"/>
          <w:szCs w:val="22"/>
        </w:rPr>
        <w:t xml:space="preserve">supply </w:t>
      </w:r>
      <w:r w:rsidRPr="00592203" w:rsidR="009009DE">
        <w:rPr>
          <w:rFonts w:ascii="Verdana" w:hAnsi="Verdana"/>
          <w:color w:val="000000" w:themeColor="text1"/>
          <w:sz w:val="22"/>
          <w:szCs w:val="22"/>
        </w:rPr>
        <w:t xml:space="preserve">and </w:t>
      </w:r>
      <w:r w:rsidRPr="00592203" w:rsidR="009009DE">
        <w:rPr>
          <w:rFonts w:ascii="Verdana" w:hAnsi="Verdana"/>
          <w:sz w:val="22"/>
          <w:szCs w:val="22"/>
        </w:rPr>
        <w:t>m</w:t>
      </w:r>
      <w:r w:rsidRPr="00592203" w:rsidR="00B81499">
        <w:rPr>
          <w:rFonts w:ascii="Verdana" w:hAnsi="Verdana"/>
          <w:sz w:val="22"/>
          <w:szCs w:val="22"/>
        </w:rPr>
        <w:t xml:space="preserve">aintenance </w:t>
      </w:r>
      <w:r w:rsidRPr="00592203" w:rsidR="007612D9">
        <w:rPr>
          <w:rFonts w:ascii="Verdana" w:hAnsi="Verdana"/>
          <w:sz w:val="22"/>
          <w:szCs w:val="22"/>
        </w:rPr>
        <w:t xml:space="preserve">contract </w:t>
      </w:r>
      <w:r w:rsidRPr="00592203" w:rsidR="00DD5E0A">
        <w:rPr>
          <w:rFonts w:ascii="Verdana" w:hAnsi="Verdana"/>
          <w:sz w:val="22"/>
          <w:szCs w:val="22"/>
        </w:rPr>
        <w:t xml:space="preserve">for </w:t>
      </w:r>
      <w:r w:rsidRPr="00592203" w:rsidR="00E943BD">
        <w:rPr>
          <w:rFonts w:ascii="Verdana" w:hAnsi="Verdana"/>
          <w:sz w:val="22"/>
          <w:szCs w:val="22"/>
        </w:rPr>
        <w:t xml:space="preserve">the </w:t>
      </w:r>
      <w:r w:rsidRPr="00592203" w:rsidR="00DD5E0A">
        <w:rPr>
          <w:rFonts w:ascii="Verdana" w:hAnsi="Verdana"/>
          <w:sz w:val="22"/>
          <w:szCs w:val="22"/>
        </w:rPr>
        <w:t>new</w:t>
      </w:r>
      <w:r w:rsidRPr="00592203">
        <w:rPr>
          <w:rFonts w:ascii="Verdana" w:hAnsi="Verdana"/>
          <w:sz w:val="22"/>
          <w:szCs w:val="22"/>
        </w:rPr>
        <w:t xml:space="preserve"> </w:t>
      </w:r>
      <w:r w:rsidRPr="00592203" w:rsidR="00DD5E0A">
        <w:rPr>
          <w:rFonts w:ascii="Verdana" w:hAnsi="Verdana"/>
          <w:sz w:val="22"/>
          <w:szCs w:val="22"/>
        </w:rPr>
        <w:t>Bus Shelter</w:t>
      </w:r>
      <w:r w:rsidRPr="00592203" w:rsidR="00B33308">
        <w:rPr>
          <w:rFonts w:ascii="Verdana" w:hAnsi="Verdana"/>
          <w:sz w:val="22"/>
          <w:szCs w:val="22"/>
        </w:rPr>
        <w:t xml:space="preserve"> </w:t>
      </w:r>
      <w:r w:rsidRPr="00592203">
        <w:rPr>
          <w:rFonts w:ascii="Verdana" w:hAnsi="Verdana"/>
          <w:sz w:val="22"/>
          <w:szCs w:val="22"/>
        </w:rPr>
        <w:t xml:space="preserve">estate, </w:t>
      </w:r>
      <w:r w:rsidR="00A004EA">
        <w:rPr>
          <w:rFonts w:ascii="Verdana" w:hAnsi="Verdana"/>
          <w:sz w:val="22"/>
          <w:szCs w:val="22"/>
        </w:rPr>
        <w:t xml:space="preserve">the new </w:t>
      </w:r>
      <w:r w:rsidRPr="00592203" w:rsidR="00592203">
        <w:rPr>
          <w:rFonts w:ascii="Verdana" w:hAnsi="Verdana"/>
          <w:sz w:val="22"/>
          <w:szCs w:val="22"/>
        </w:rPr>
        <w:t xml:space="preserve">Bus Shelter </w:t>
      </w:r>
      <w:r w:rsidRPr="00592203" w:rsidR="00B33308">
        <w:rPr>
          <w:rFonts w:ascii="Verdana" w:hAnsi="Verdana"/>
          <w:sz w:val="22"/>
          <w:szCs w:val="22"/>
        </w:rPr>
        <w:t>advertising estate</w:t>
      </w:r>
      <w:r w:rsidRPr="00592203" w:rsidR="00451863">
        <w:rPr>
          <w:rFonts w:ascii="Verdana" w:hAnsi="Verdana"/>
          <w:sz w:val="22"/>
          <w:szCs w:val="22"/>
        </w:rPr>
        <w:t>,</w:t>
      </w:r>
      <w:r w:rsidRPr="00592203" w:rsidR="007612D9">
        <w:rPr>
          <w:rFonts w:ascii="Verdana" w:hAnsi="Verdana"/>
          <w:sz w:val="22"/>
          <w:szCs w:val="22"/>
        </w:rPr>
        <w:t xml:space="preserve"> </w:t>
      </w:r>
      <w:r w:rsidRPr="00592203" w:rsidR="00592203">
        <w:rPr>
          <w:rFonts w:ascii="Verdana" w:hAnsi="Verdana"/>
          <w:sz w:val="22"/>
          <w:szCs w:val="22"/>
        </w:rPr>
        <w:t xml:space="preserve">and </w:t>
      </w:r>
      <w:r w:rsidR="00A004EA">
        <w:rPr>
          <w:rFonts w:ascii="Verdana" w:hAnsi="Verdana"/>
          <w:sz w:val="22"/>
          <w:szCs w:val="22"/>
        </w:rPr>
        <w:t xml:space="preserve">for the </w:t>
      </w:r>
      <w:r w:rsidRPr="00592203" w:rsidR="00592203">
        <w:rPr>
          <w:rFonts w:ascii="Verdana" w:hAnsi="Verdana"/>
          <w:sz w:val="22"/>
          <w:szCs w:val="22"/>
        </w:rPr>
        <w:t>new FSU advertising estate</w:t>
      </w:r>
      <w:r w:rsidR="00592203">
        <w:rPr>
          <w:rFonts w:ascii="Verdana" w:hAnsi="Verdana"/>
          <w:sz w:val="22"/>
          <w:szCs w:val="22"/>
        </w:rPr>
        <w:t>.</w:t>
      </w:r>
    </w:p>
    <w:p w:rsidR="00A3172E" w:rsidP="00592203" w:rsidRDefault="00A3172E" w14:paraId="0D01D9DC" w14:textId="77777777">
      <w:pPr>
        <w:jc w:val="both"/>
        <w:rPr>
          <w:rFonts w:ascii="Verdana" w:hAnsi="Verdana"/>
          <w:sz w:val="22"/>
          <w:szCs w:val="22"/>
        </w:rPr>
      </w:pPr>
    </w:p>
    <w:p w:rsidR="00D16EB6" w:rsidP="00592203" w:rsidRDefault="00D16EB6" w14:paraId="6952D3B3" w14:textId="77777777">
      <w:pPr>
        <w:jc w:val="both"/>
        <w:rPr>
          <w:rFonts w:ascii="Verdana" w:hAnsi="Verdana"/>
          <w:sz w:val="22"/>
          <w:szCs w:val="22"/>
        </w:rPr>
      </w:pPr>
    </w:p>
    <w:p w:rsidRPr="00507B55" w:rsidR="00C94C21" w:rsidP="00C94C21" w:rsidRDefault="00EA2B7A" w14:paraId="185EE6C2" w14:textId="231A3E3B">
      <w:pPr>
        <w:ind w:left="567" w:hanging="567"/>
        <w:rPr>
          <w:rFonts w:ascii="Verdana" w:hAnsi="Verdana" w:cstheme="minorHAnsi"/>
          <w:b/>
          <w:bCs/>
          <w:sz w:val="22"/>
          <w:szCs w:val="22"/>
          <w:u w:val="single"/>
        </w:rPr>
      </w:pPr>
      <w:r w:rsidRPr="00507B55">
        <w:rPr>
          <w:rFonts w:ascii="Verdana" w:hAnsi="Verdana"/>
          <w:b/>
          <w:color w:val="000000" w:themeColor="text1"/>
          <w:sz w:val="22"/>
          <w:szCs w:val="22"/>
        </w:rPr>
        <w:t>2</w:t>
      </w:r>
      <w:r w:rsidRPr="00507B55" w:rsidR="001A4404">
        <w:rPr>
          <w:rFonts w:ascii="Verdana" w:hAnsi="Verdana"/>
          <w:b/>
          <w:color w:val="000000" w:themeColor="text1"/>
          <w:sz w:val="22"/>
          <w:szCs w:val="22"/>
        </w:rPr>
        <w:t>.</w:t>
      </w:r>
      <w:r w:rsidRPr="00507B55" w:rsidR="001A4404">
        <w:rPr>
          <w:rFonts w:ascii="Verdana" w:hAnsi="Verdana"/>
          <w:b/>
          <w:color w:val="000000" w:themeColor="text1"/>
          <w:sz w:val="22"/>
          <w:szCs w:val="22"/>
        </w:rPr>
        <w:tab/>
      </w:r>
      <w:r w:rsidRPr="00D169F0" w:rsidR="009C5298">
        <w:rPr>
          <w:rFonts w:ascii="Verdana" w:hAnsi="Verdana" w:cstheme="minorHAnsi"/>
          <w:b/>
          <w:bCs/>
          <w:sz w:val="22"/>
          <w:szCs w:val="22"/>
        </w:rPr>
        <w:t>DECISION MAKING FRAMEWORK</w:t>
      </w:r>
    </w:p>
    <w:p w:rsidRPr="00507B55" w:rsidR="00C94C21" w:rsidP="00D07E34" w:rsidRDefault="00C94C21" w14:paraId="0BC75C33" w14:textId="77777777">
      <w:pPr>
        <w:tabs>
          <w:tab w:val="left" w:pos="567"/>
        </w:tabs>
        <w:ind w:left="567" w:hanging="567"/>
        <w:jc w:val="both"/>
        <w:rPr>
          <w:rFonts w:ascii="Verdana" w:hAnsi="Verdana" w:cstheme="minorHAnsi"/>
          <w:sz w:val="22"/>
          <w:szCs w:val="22"/>
        </w:rPr>
      </w:pPr>
    </w:p>
    <w:p w:rsidRPr="00507B55" w:rsidR="00C94C21" w:rsidP="00D07E34" w:rsidRDefault="00721377" w14:paraId="7A28BB15" w14:textId="7A887E73">
      <w:pPr>
        <w:tabs>
          <w:tab w:val="left" w:pos="567"/>
        </w:tabs>
        <w:ind w:left="567" w:hanging="567"/>
        <w:jc w:val="both"/>
        <w:rPr>
          <w:rFonts w:ascii="Verdana" w:hAnsi="Verdana" w:cstheme="minorHAnsi"/>
          <w:sz w:val="22"/>
          <w:szCs w:val="22"/>
        </w:rPr>
      </w:pPr>
      <w:r w:rsidRPr="00507B55">
        <w:rPr>
          <w:rFonts w:ascii="Verdana" w:hAnsi="Verdana" w:cs="Frutiger-Light"/>
          <w:sz w:val="22"/>
          <w:szCs w:val="22"/>
        </w:rPr>
        <w:t>2.1</w:t>
      </w:r>
      <w:r w:rsidRPr="00507B55">
        <w:rPr>
          <w:rFonts w:ascii="Verdana" w:hAnsi="Verdana" w:cs="Frutiger-Light"/>
          <w:sz w:val="22"/>
          <w:szCs w:val="22"/>
        </w:rPr>
        <w:tab/>
      </w:r>
      <w:r w:rsidRPr="009D62E9" w:rsidR="00C94C21">
        <w:rPr>
          <w:rFonts w:ascii="Verdana" w:hAnsi="Verdana" w:cs="Frutiger-Light"/>
          <w:sz w:val="22"/>
          <w:szCs w:val="22"/>
        </w:rPr>
        <w:t>T</w:t>
      </w:r>
      <w:r w:rsidRPr="009D62E9" w:rsidR="00C94C21">
        <w:rPr>
          <w:rFonts w:ascii="Verdana" w:hAnsi="Verdana"/>
          <w:sz w:val="22"/>
          <w:szCs w:val="22"/>
        </w:rPr>
        <w:t>he Advertisement</w:t>
      </w:r>
      <w:r w:rsidRPr="00507B55" w:rsidR="00C94C21">
        <w:rPr>
          <w:rFonts w:ascii="Verdana" w:hAnsi="Verdana"/>
          <w:sz w:val="22"/>
          <w:szCs w:val="22"/>
        </w:rPr>
        <w:t xml:space="preserve"> Regulations require that decisions </w:t>
      </w:r>
      <w:r w:rsidRPr="00507B55" w:rsidR="000C50C8">
        <w:rPr>
          <w:rFonts w:ascii="Verdana" w:hAnsi="Verdana"/>
          <w:sz w:val="22"/>
          <w:szCs w:val="22"/>
        </w:rPr>
        <w:t xml:space="preserve">on advertisement proposals </w:t>
      </w:r>
      <w:r w:rsidRPr="00507B55" w:rsidR="00C94C21">
        <w:rPr>
          <w:rFonts w:ascii="Verdana" w:hAnsi="Verdana"/>
          <w:sz w:val="22"/>
          <w:szCs w:val="22"/>
        </w:rPr>
        <w:t xml:space="preserve">are made in the interests of </w:t>
      </w:r>
      <w:r w:rsidRPr="00507B55" w:rsidR="00C94C21">
        <w:rPr>
          <w:rFonts w:ascii="Verdana" w:hAnsi="Verdana"/>
          <w:i/>
          <w:sz w:val="22"/>
          <w:szCs w:val="22"/>
        </w:rPr>
        <w:t>amenity</w:t>
      </w:r>
      <w:r w:rsidRPr="00507B55" w:rsidR="00C94C21">
        <w:rPr>
          <w:rFonts w:ascii="Verdana" w:hAnsi="Verdana"/>
          <w:sz w:val="22"/>
          <w:szCs w:val="22"/>
        </w:rPr>
        <w:t xml:space="preserve"> and </w:t>
      </w:r>
      <w:r w:rsidRPr="00507B55" w:rsidR="00C94C21">
        <w:rPr>
          <w:rFonts w:ascii="Verdana" w:hAnsi="Verdana"/>
          <w:i/>
          <w:sz w:val="22"/>
          <w:szCs w:val="22"/>
        </w:rPr>
        <w:t>public safety</w:t>
      </w:r>
      <w:r w:rsidRPr="00507B55" w:rsidR="00C94C21">
        <w:rPr>
          <w:rFonts w:ascii="Verdana" w:hAnsi="Verdana"/>
          <w:sz w:val="22"/>
          <w:szCs w:val="22"/>
        </w:rPr>
        <w:t xml:space="preserve">, and this is reiterated in the National Planning Policy Framework. </w:t>
      </w:r>
      <w:r w:rsidRPr="00507B55" w:rsidR="000C50C8">
        <w:rPr>
          <w:rFonts w:ascii="Verdana" w:hAnsi="Verdana"/>
          <w:sz w:val="22"/>
          <w:szCs w:val="22"/>
        </w:rPr>
        <w:t xml:space="preserve"> </w:t>
      </w:r>
      <w:r w:rsidRPr="00507B55" w:rsidR="00C94C21">
        <w:rPr>
          <w:rFonts w:ascii="Verdana" w:hAnsi="Verdana"/>
          <w:sz w:val="22"/>
          <w:szCs w:val="22"/>
        </w:rPr>
        <w:t xml:space="preserve">In accordance with the </w:t>
      </w:r>
      <w:r w:rsidRPr="00507B55" w:rsidR="00C94C21">
        <w:rPr>
          <w:rFonts w:ascii="Verdana" w:hAnsi="Verdana" w:cstheme="minorHAnsi"/>
          <w:sz w:val="22"/>
          <w:szCs w:val="22"/>
        </w:rPr>
        <w:t>Regulations, development plan policies are material only insofar as they are relevant to the application but cannot by themselves be decisive in any determination.</w:t>
      </w:r>
    </w:p>
    <w:p w:rsidRPr="00507B55" w:rsidR="00C94C21" w:rsidP="00D07E34" w:rsidRDefault="00C94C21" w14:paraId="079E1B6E" w14:textId="77777777">
      <w:pPr>
        <w:tabs>
          <w:tab w:val="left" w:pos="567"/>
        </w:tabs>
        <w:ind w:left="567" w:hanging="567"/>
        <w:jc w:val="both"/>
        <w:rPr>
          <w:rFonts w:ascii="Verdana" w:hAnsi="Verdana" w:cstheme="minorHAnsi"/>
          <w:sz w:val="22"/>
          <w:szCs w:val="22"/>
        </w:rPr>
      </w:pPr>
    </w:p>
    <w:p w:rsidRPr="00507B55" w:rsidR="00C94C21" w:rsidP="00D07E34" w:rsidRDefault="00721377" w14:paraId="578EF5BE" w14:textId="354F6FFA">
      <w:pPr>
        <w:tabs>
          <w:tab w:val="left" w:pos="567"/>
        </w:tabs>
        <w:ind w:left="567" w:hanging="567"/>
        <w:jc w:val="both"/>
        <w:rPr>
          <w:rFonts w:ascii="Verdana" w:hAnsi="Verdana" w:eastAsia="ArialMT" w:cs="ArialMT"/>
          <w:b/>
          <w:bCs/>
          <w:sz w:val="22"/>
          <w:szCs w:val="22"/>
        </w:rPr>
      </w:pPr>
      <w:r w:rsidRPr="00507B55">
        <w:rPr>
          <w:rFonts w:ascii="Verdana" w:hAnsi="Verdana" w:eastAsia="ArialMT" w:cs="ArialMT"/>
          <w:b/>
          <w:bCs/>
          <w:sz w:val="22"/>
          <w:szCs w:val="22"/>
        </w:rPr>
        <w:tab/>
      </w:r>
      <w:r w:rsidRPr="00507B55" w:rsidR="00C94C21">
        <w:rPr>
          <w:rFonts w:ascii="Verdana" w:hAnsi="Verdana" w:eastAsia="ArialMT" w:cs="ArialMT"/>
          <w:b/>
          <w:bCs/>
          <w:sz w:val="22"/>
          <w:szCs w:val="22"/>
        </w:rPr>
        <w:t>National Planning Policy Framework (NPPF)</w:t>
      </w:r>
    </w:p>
    <w:p w:rsidRPr="00507B55" w:rsidR="00C94C21" w:rsidP="00D07E34" w:rsidRDefault="00C94C21" w14:paraId="22766F5D" w14:textId="77777777">
      <w:pPr>
        <w:tabs>
          <w:tab w:val="left" w:pos="567"/>
        </w:tabs>
        <w:ind w:left="567" w:hanging="567"/>
        <w:jc w:val="both"/>
        <w:rPr>
          <w:rFonts w:ascii="Verdana" w:hAnsi="Verdana" w:eastAsia="ArialMT" w:cs="ArialMT"/>
          <w:sz w:val="22"/>
          <w:szCs w:val="22"/>
        </w:rPr>
      </w:pPr>
    </w:p>
    <w:p w:rsidRPr="00507B55" w:rsidR="00C94C21" w:rsidP="00D07E34" w:rsidRDefault="00721377" w14:paraId="349B077F" w14:textId="31E95E7B">
      <w:pPr>
        <w:tabs>
          <w:tab w:val="left" w:pos="567"/>
        </w:tabs>
        <w:ind w:left="567" w:hanging="567"/>
        <w:jc w:val="both"/>
        <w:rPr>
          <w:rFonts w:ascii="Verdana" w:hAnsi="Verdana" w:eastAsia="ArialMT" w:cs="ArialMT"/>
          <w:i/>
          <w:sz w:val="22"/>
          <w:szCs w:val="22"/>
        </w:rPr>
      </w:pPr>
      <w:r w:rsidRPr="00507B55">
        <w:rPr>
          <w:rFonts w:ascii="Verdana" w:hAnsi="Verdana" w:eastAsia="ArialMT" w:cs="ArialMT"/>
          <w:sz w:val="22"/>
          <w:szCs w:val="22"/>
        </w:rPr>
        <w:t>2.2</w:t>
      </w:r>
      <w:r w:rsidRPr="00507B55">
        <w:rPr>
          <w:rFonts w:ascii="Verdana" w:hAnsi="Verdana" w:eastAsia="ArialMT" w:cs="ArialMT"/>
          <w:sz w:val="22"/>
          <w:szCs w:val="22"/>
        </w:rPr>
        <w:tab/>
      </w:r>
      <w:r w:rsidRPr="00507B55" w:rsidR="00C94C21">
        <w:rPr>
          <w:rFonts w:ascii="Verdana" w:hAnsi="Verdana" w:eastAsia="ArialMT" w:cs="ArialMT"/>
          <w:sz w:val="22"/>
          <w:szCs w:val="22"/>
        </w:rPr>
        <w:t>Para. 13</w:t>
      </w:r>
      <w:r w:rsidRPr="00507B55" w:rsidR="00324EDC">
        <w:rPr>
          <w:rFonts w:ascii="Verdana" w:hAnsi="Verdana" w:eastAsia="ArialMT" w:cs="ArialMT"/>
          <w:sz w:val="22"/>
          <w:szCs w:val="22"/>
        </w:rPr>
        <w:t>6</w:t>
      </w:r>
      <w:r w:rsidRPr="00507B55" w:rsidR="00C94C21">
        <w:rPr>
          <w:rFonts w:ascii="Verdana" w:hAnsi="Verdana" w:eastAsia="ArialMT" w:cs="ArialMT"/>
          <w:sz w:val="22"/>
          <w:szCs w:val="22"/>
        </w:rPr>
        <w:t xml:space="preserve"> of the NPPF states, “</w:t>
      </w:r>
      <w:r w:rsidRPr="00507B55" w:rsidR="00C94C21">
        <w:rPr>
          <w:rFonts w:ascii="Verdana" w:hAnsi="Verdana"/>
          <w:i/>
          <w:sz w:val="22"/>
          <w:szCs w:val="22"/>
        </w:rPr>
        <w:t>The quality and character of places can suffer when advertisements are poorly sited and designed. A separate consent process within the planning system controls the display of advertisements, which should be operated in a way which is simple, efficient and effective. Advertisements should be subject to control only in the interests of amenity and public safety, taking account of cumulative impacts.”</w:t>
      </w:r>
    </w:p>
    <w:p w:rsidRPr="00507B55" w:rsidR="00C94C21" w:rsidP="00D07E34" w:rsidRDefault="00C94C21" w14:paraId="3A7B5C44" w14:textId="77777777">
      <w:pPr>
        <w:tabs>
          <w:tab w:val="left" w:pos="567"/>
        </w:tabs>
        <w:ind w:left="567" w:hanging="567"/>
        <w:jc w:val="both"/>
        <w:rPr>
          <w:rFonts w:ascii="Verdana" w:hAnsi="Verdana" w:cstheme="minorHAnsi"/>
          <w:b/>
          <w:bCs/>
          <w:sz w:val="22"/>
          <w:szCs w:val="22"/>
        </w:rPr>
      </w:pPr>
    </w:p>
    <w:p w:rsidR="00C94C21" w:rsidP="00D07E34" w:rsidRDefault="00721377" w14:paraId="298F8155" w14:textId="4F083994">
      <w:pPr>
        <w:tabs>
          <w:tab w:val="left" w:pos="567"/>
        </w:tabs>
        <w:ind w:left="567" w:hanging="567"/>
        <w:jc w:val="both"/>
        <w:rPr>
          <w:rFonts w:ascii="Verdana" w:hAnsi="Verdana" w:cstheme="minorHAnsi"/>
          <w:b/>
          <w:bCs/>
          <w:sz w:val="22"/>
          <w:szCs w:val="22"/>
        </w:rPr>
      </w:pPr>
      <w:r w:rsidRPr="00507B55">
        <w:rPr>
          <w:rFonts w:ascii="Verdana" w:hAnsi="Verdana" w:cstheme="minorHAnsi"/>
          <w:b/>
          <w:bCs/>
          <w:sz w:val="22"/>
          <w:szCs w:val="22"/>
        </w:rPr>
        <w:tab/>
      </w:r>
      <w:r w:rsidRPr="00507B55" w:rsidR="00C94C21">
        <w:rPr>
          <w:rFonts w:ascii="Verdana" w:hAnsi="Verdana" w:cstheme="minorHAnsi"/>
          <w:b/>
          <w:bCs/>
          <w:sz w:val="22"/>
          <w:szCs w:val="22"/>
        </w:rPr>
        <w:t>Planning Practice Guidance – Advertisements (updated July 2019)</w:t>
      </w:r>
    </w:p>
    <w:p w:rsidRPr="00507B55" w:rsidR="00CD1121" w:rsidP="00D07E34" w:rsidRDefault="00CD1121" w14:paraId="0995B9D6" w14:textId="77777777">
      <w:pPr>
        <w:tabs>
          <w:tab w:val="left" w:pos="567"/>
        </w:tabs>
        <w:ind w:left="567" w:hanging="567"/>
        <w:jc w:val="both"/>
        <w:rPr>
          <w:rFonts w:ascii="Verdana" w:hAnsi="Verdana" w:cstheme="minorHAnsi"/>
          <w:b/>
          <w:bCs/>
          <w:sz w:val="22"/>
          <w:szCs w:val="22"/>
        </w:rPr>
      </w:pPr>
    </w:p>
    <w:p w:rsidRPr="00507B55" w:rsidR="00C94C21" w:rsidP="00D07E34" w:rsidRDefault="00721377" w14:paraId="124DCF45" w14:textId="3A8989AC">
      <w:pPr>
        <w:tabs>
          <w:tab w:val="left" w:pos="567"/>
        </w:tabs>
        <w:ind w:left="567" w:hanging="567"/>
        <w:jc w:val="both"/>
        <w:rPr>
          <w:rFonts w:ascii="Verdana" w:hAnsi="Verdana" w:cstheme="minorHAnsi"/>
          <w:color w:val="0B0C0C"/>
          <w:sz w:val="22"/>
          <w:szCs w:val="22"/>
        </w:rPr>
      </w:pPr>
      <w:r w:rsidRPr="00507B55">
        <w:rPr>
          <w:rFonts w:ascii="Verdana" w:hAnsi="Verdana" w:cstheme="minorHAnsi"/>
          <w:color w:val="0B0C0C"/>
          <w:sz w:val="22"/>
          <w:szCs w:val="22"/>
        </w:rPr>
        <w:t>2.3</w:t>
      </w:r>
      <w:r w:rsidRPr="00507B55">
        <w:rPr>
          <w:rFonts w:ascii="Verdana" w:hAnsi="Verdana" w:cstheme="minorHAnsi"/>
          <w:color w:val="0B0C0C"/>
          <w:sz w:val="22"/>
          <w:szCs w:val="22"/>
        </w:rPr>
        <w:tab/>
      </w:r>
      <w:r w:rsidR="00E171BD">
        <w:rPr>
          <w:rFonts w:ascii="Verdana" w:hAnsi="Verdana" w:cstheme="minorHAnsi"/>
          <w:color w:val="0B0C0C"/>
          <w:sz w:val="22"/>
          <w:szCs w:val="22"/>
        </w:rPr>
        <w:t xml:space="preserve">This </w:t>
      </w:r>
      <w:r w:rsidRPr="00507B55" w:rsidR="00C94C21">
        <w:rPr>
          <w:rFonts w:ascii="Verdana" w:hAnsi="Verdana" w:cstheme="minorHAnsi"/>
          <w:color w:val="0B0C0C"/>
          <w:sz w:val="22"/>
          <w:szCs w:val="22"/>
        </w:rPr>
        <w:t xml:space="preserve">Planning Practice Guidance (PPG) states that “amenity” includes aural and visual amenity and factors relevant to amenity include the general characteristics of the locality, including the presence of any feature of historic, architectural, cultural or similar interest. </w:t>
      </w:r>
      <w:r w:rsidR="00956D56">
        <w:rPr>
          <w:rFonts w:ascii="Verdana" w:hAnsi="Verdana" w:cstheme="minorHAnsi"/>
          <w:color w:val="0B0C0C"/>
          <w:sz w:val="22"/>
          <w:szCs w:val="22"/>
        </w:rPr>
        <w:t xml:space="preserve"> </w:t>
      </w:r>
      <w:r w:rsidRPr="00507B55" w:rsidR="00C94C21">
        <w:rPr>
          <w:rFonts w:ascii="Verdana" w:hAnsi="Verdana" w:cstheme="minorHAnsi"/>
          <w:color w:val="0B0C0C"/>
          <w:sz w:val="22"/>
          <w:szCs w:val="22"/>
        </w:rPr>
        <w:t>The test to be applied is whether the proposed advertisement is in scale and in keeping with these features.</w:t>
      </w:r>
    </w:p>
    <w:p w:rsidR="009B348F" w:rsidP="00D07E34" w:rsidRDefault="009B348F" w14:paraId="020F7F48" w14:textId="77777777">
      <w:pPr>
        <w:tabs>
          <w:tab w:val="left" w:pos="567"/>
        </w:tabs>
        <w:ind w:left="567" w:hanging="567"/>
        <w:jc w:val="both"/>
        <w:rPr>
          <w:rFonts w:ascii="Verdana" w:hAnsi="Verdana" w:cstheme="minorHAnsi"/>
          <w:color w:val="0B0C0C"/>
          <w:sz w:val="22"/>
          <w:szCs w:val="22"/>
        </w:rPr>
      </w:pPr>
    </w:p>
    <w:p w:rsidRPr="00507B55" w:rsidR="00C94C21" w:rsidP="00D07E34" w:rsidRDefault="00721377" w14:paraId="207F33D1" w14:textId="049C7A61">
      <w:pPr>
        <w:tabs>
          <w:tab w:val="left" w:pos="567"/>
        </w:tabs>
        <w:ind w:left="567" w:hanging="567"/>
        <w:jc w:val="both"/>
        <w:rPr>
          <w:rFonts w:ascii="Verdana" w:hAnsi="Verdana" w:cstheme="minorHAnsi"/>
          <w:color w:val="0B0C0C"/>
          <w:sz w:val="22"/>
          <w:szCs w:val="22"/>
        </w:rPr>
      </w:pPr>
      <w:r w:rsidRPr="00507B55">
        <w:rPr>
          <w:rFonts w:ascii="Verdana" w:hAnsi="Verdana" w:cstheme="minorHAnsi"/>
          <w:color w:val="0B0C0C"/>
          <w:sz w:val="22"/>
          <w:szCs w:val="22"/>
        </w:rPr>
        <w:t>2.4</w:t>
      </w:r>
      <w:r w:rsidRPr="00507B55">
        <w:rPr>
          <w:rFonts w:ascii="Verdana" w:hAnsi="Verdana" w:cstheme="minorHAnsi"/>
          <w:color w:val="0B0C0C"/>
          <w:sz w:val="22"/>
          <w:szCs w:val="22"/>
        </w:rPr>
        <w:tab/>
      </w:r>
      <w:r w:rsidRPr="00507B55" w:rsidR="00C94C21">
        <w:rPr>
          <w:rFonts w:ascii="Verdana" w:hAnsi="Verdana" w:cstheme="minorHAnsi"/>
          <w:color w:val="0B0C0C"/>
          <w:sz w:val="22"/>
          <w:szCs w:val="22"/>
        </w:rPr>
        <w:t xml:space="preserve">In practice “amenity” is usually understood to mean the effect on visual and aural amenity in the immediate </w:t>
      </w:r>
      <w:proofErr w:type="spellStart"/>
      <w:r w:rsidRPr="00507B55" w:rsidR="00C94C21">
        <w:rPr>
          <w:rFonts w:ascii="Verdana" w:hAnsi="Verdana" w:cstheme="minorHAnsi"/>
          <w:color w:val="0B0C0C"/>
          <w:sz w:val="22"/>
          <w:szCs w:val="22"/>
        </w:rPr>
        <w:t>neighbourhood</w:t>
      </w:r>
      <w:proofErr w:type="spellEnd"/>
      <w:r w:rsidRPr="00507B55" w:rsidR="00C94C21">
        <w:rPr>
          <w:rFonts w:ascii="Verdana" w:hAnsi="Verdana" w:cstheme="minorHAnsi"/>
          <w:color w:val="0B0C0C"/>
          <w:sz w:val="22"/>
          <w:szCs w:val="22"/>
        </w:rPr>
        <w:t xml:space="preserve"> of a proposed advertisement, where residents or passers-by will be aware of it.  The PPG adds, </w:t>
      </w:r>
      <w:r w:rsidRPr="00507B55" w:rsidR="00C94C21">
        <w:rPr>
          <w:rFonts w:ascii="Verdana" w:hAnsi="Verdana" w:cstheme="minorHAnsi"/>
          <w:i/>
          <w:iCs/>
          <w:color w:val="0B0C0C"/>
          <w:sz w:val="22"/>
          <w:szCs w:val="22"/>
        </w:rPr>
        <w:t xml:space="preserve">“This might mean that a large poster-hoarding would be refused where it would dominate a group of listed buildings, but would be permitted in an industrial or commercial area of a major city (where there are large buildings and main highways) where the advertisement would not adversely affect the visual amenity of the </w:t>
      </w:r>
      <w:proofErr w:type="spellStart"/>
      <w:r w:rsidRPr="00507B55" w:rsidR="00C94C21">
        <w:rPr>
          <w:rFonts w:ascii="Verdana" w:hAnsi="Verdana" w:cstheme="minorHAnsi"/>
          <w:i/>
          <w:iCs/>
          <w:color w:val="0B0C0C"/>
          <w:sz w:val="22"/>
          <w:szCs w:val="22"/>
        </w:rPr>
        <w:t>neighbourhood</w:t>
      </w:r>
      <w:proofErr w:type="spellEnd"/>
      <w:r w:rsidRPr="00507B55" w:rsidR="00C94C21">
        <w:rPr>
          <w:rFonts w:ascii="Verdana" w:hAnsi="Verdana" w:cstheme="minorHAnsi"/>
          <w:i/>
          <w:iCs/>
          <w:color w:val="0B0C0C"/>
          <w:sz w:val="22"/>
          <w:szCs w:val="22"/>
        </w:rPr>
        <w:t xml:space="preserve"> of the site.”</w:t>
      </w:r>
    </w:p>
    <w:p w:rsidRPr="00503008" w:rsidR="00507B55" w:rsidP="00D07E34" w:rsidRDefault="00507B55" w14:paraId="4D5BBA43" w14:textId="21BBF1FB">
      <w:pPr>
        <w:tabs>
          <w:tab w:val="left" w:pos="567"/>
        </w:tabs>
        <w:ind w:left="567" w:hanging="567"/>
        <w:jc w:val="both"/>
        <w:rPr>
          <w:rFonts w:ascii="Verdana" w:hAnsi="Verdana"/>
          <w:color w:val="000000" w:themeColor="text1"/>
          <w:sz w:val="22"/>
          <w:szCs w:val="22"/>
        </w:rPr>
      </w:pPr>
    </w:p>
    <w:p w:rsidRPr="00503008" w:rsidR="00735742" w:rsidP="00D07E34" w:rsidRDefault="00735742" w14:paraId="423EEBBF" w14:textId="77777777">
      <w:pPr>
        <w:tabs>
          <w:tab w:val="left" w:pos="567"/>
        </w:tabs>
        <w:ind w:left="567" w:hanging="567"/>
        <w:jc w:val="both"/>
        <w:rPr>
          <w:rFonts w:ascii="Verdana" w:hAnsi="Verdana"/>
          <w:color w:val="000000" w:themeColor="text1"/>
          <w:sz w:val="22"/>
          <w:szCs w:val="22"/>
        </w:rPr>
      </w:pPr>
    </w:p>
    <w:p w:rsidRPr="00503008" w:rsidR="00EA2B7A" w:rsidP="00D07E34" w:rsidRDefault="00417430" w14:paraId="2283E688" w14:textId="68D3D5BF">
      <w:pPr>
        <w:tabs>
          <w:tab w:val="left" w:pos="567"/>
        </w:tabs>
        <w:ind w:left="567" w:hanging="567"/>
        <w:jc w:val="both"/>
        <w:rPr>
          <w:rFonts w:ascii="Verdana" w:hAnsi="Verdana"/>
          <w:color w:val="000000" w:themeColor="text1"/>
          <w:sz w:val="22"/>
          <w:szCs w:val="22"/>
        </w:rPr>
      </w:pPr>
      <w:r w:rsidRPr="00503008">
        <w:rPr>
          <w:rFonts w:ascii="Verdana" w:hAnsi="Verdana"/>
          <w:b/>
          <w:color w:val="000000" w:themeColor="text1"/>
          <w:sz w:val="22"/>
          <w:szCs w:val="22"/>
        </w:rPr>
        <w:t>3.</w:t>
      </w:r>
      <w:r w:rsidRPr="00503008">
        <w:rPr>
          <w:rFonts w:ascii="Verdana" w:hAnsi="Verdana"/>
          <w:b/>
          <w:color w:val="000000" w:themeColor="text1"/>
          <w:sz w:val="22"/>
          <w:szCs w:val="22"/>
        </w:rPr>
        <w:tab/>
      </w:r>
      <w:r w:rsidRPr="00D31C0A">
        <w:rPr>
          <w:rFonts w:ascii="Verdana" w:hAnsi="Verdana"/>
          <w:b/>
          <w:color w:val="000000" w:themeColor="text1"/>
          <w:sz w:val="22"/>
          <w:szCs w:val="22"/>
        </w:rPr>
        <w:t>AMENITY</w:t>
      </w:r>
    </w:p>
    <w:p w:rsidRPr="00503008" w:rsidR="00EA2B7A" w:rsidP="00D07E34" w:rsidRDefault="00EA2B7A" w14:paraId="5936E6B2" w14:textId="77777777">
      <w:pPr>
        <w:tabs>
          <w:tab w:val="left" w:pos="567"/>
        </w:tabs>
        <w:ind w:left="567" w:hanging="567"/>
        <w:jc w:val="both"/>
        <w:rPr>
          <w:rFonts w:ascii="Verdana" w:hAnsi="Verdana"/>
          <w:color w:val="000000" w:themeColor="text1"/>
          <w:sz w:val="22"/>
          <w:szCs w:val="22"/>
        </w:rPr>
      </w:pPr>
    </w:p>
    <w:p w:rsidRPr="00507B55" w:rsidR="001A4404" w:rsidP="001A4404" w:rsidRDefault="00735742" w14:paraId="2B5F8461" w14:textId="4094851F">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Tahoma"/>
          <w:bCs/>
          <w:sz w:val="22"/>
          <w:szCs w:val="22"/>
        </w:rPr>
      </w:pPr>
      <w:r>
        <w:rPr>
          <w:rFonts w:ascii="Verdana" w:hAnsi="Verdana"/>
          <w:sz w:val="22"/>
          <w:szCs w:val="22"/>
        </w:rPr>
        <w:t>3</w:t>
      </w:r>
      <w:r w:rsidRPr="00507B55" w:rsidR="001A4404">
        <w:rPr>
          <w:rFonts w:ascii="Verdana" w:hAnsi="Verdana"/>
          <w:sz w:val="22"/>
          <w:szCs w:val="22"/>
        </w:rPr>
        <w:t>.</w:t>
      </w:r>
      <w:r>
        <w:rPr>
          <w:rFonts w:ascii="Verdana" w:hAnsi="Verdana"/>
          <w:sz w:val="22"/>
          <w:szCs w:val="22"/>
        </w:rPr>
        <w:t>1</w:t>
      </w:r>
      <w:r w:rsidRPr="00507B55" w:rsidR="001A4404">
        <w:rPr>
          <w:rFonts w:ascii="Verdana" w:hAnsi="Verdana"/>
          <w:sz w:val="22"/>
          <w:szCs w:val="22"/>
        </w:rPr>
        <w:tab/>
      </w:r>
      <w:r w:rsidRPr="00507B55" w:rsidR="001A4404">
        <w:rPr>
          <w:rFonts w:ascii="Verdana" w:hAnsi="Verdana"/>
          <w:sz w:val="22"/>
          <w:szCs w:val="22"/>
        </w:rPr>
        <w:t>Factors relevant to assessing amenity include the general characteristics of the locality, including the presence of any features of historic, architectural, cultural, or similar interest.  In assessing the effect on visual amenity within the locality of a proposed advertisement as experienced by residents or passers-by, the test is whether the proposed advertisement is in scale and in keeping with features that characterize the locality.</w:t>
      </w:r>
    </w:p>
    <w:p w:rsidRPr="00507B55" w:rsidR="001A4404" w:rsidP="001A4404" w:rsidRDefault="001A4404" w14:paraId="0A66416D" w14:textId="77777777">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Tahoma"/>
          <w:bCs/>
          <w:sz w:val="22"/>
          <w:szCs w:val="22"/>
        </w:rPr>
      </w:pPr>
    </w:p>
    <w:p w:rsidRPr="00507B55" w:rsidR="001A4404" w:rsidP="001A4404" w:rsidRDefault="00735742" w14:paraId="0FE8B151" w14:textId="0717A35B">
      <w:pPr>
        <w:tabs>
          <w:tab w:val="left" w:pos="567"/>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sz w:val="22"/>
          <w:szCs w:val="22"/>
        </w:rPr>
      </w:pPr>
      <w:r>
        <w:rPr>
          <w:rFonts w:ascii="Verdana" w:hAnsi="Verdana"/>
          <w:sz w:val="22"/>
          <w:szCs w:val="22"/>
        </w:rPr>
        <w:t>3</w:t>
      </w:r>
      <w:r w:rsidRPr="00507B55" w:rsidR="001A4404">
        <w:rPr>
          <w:rFonts w:ascii="Verdana" w:hAnsi="Verdana"/>
          <w:sz w:val="22"/>
          <w:szCs w:val="22"/>
        </w:rPr>
        <w:t>.</w:t>
      </w:r>
      <w:r>
        <w:rPr>
          <w:rFonts w:ascii="Verdana" w:hAnsi="Verdana"/>
          <w:sz w:val="22"/>
          <w:szCs w:val="22"/>
        </w:rPr>
        <w:t>2</w:t>
      </w:r>
      <w:r w:rsidRPr="00507B55" w:rsidR="001A4404">
        <w:rPr>
          <w:rFonts w:ascii="Verdana" w:hAnsi="Verdana"/>
          <w:sz w:val="22"/>
          <w:szCs w:val="22"/>
        </w:rPr>
        <w:tab/>
      </w:r>
      <w:r w:rsidRPr="00507B55" w:rsidR="001A4404">
        <w:rPr>
          <w:rFonts w:ascii="Verdana" w:hAnsi="Verdana"/>
          <w:sz w:val="22"/>
          <w:szCs w:val="22"/>
        </w:rPr>
        <w:t xml:space="preserve">Advertising displays integrated within street furniture, located in </w:t>
      </w:r>
      <w:proofErr w:type="spellStart"/>
      <w:r w:rsidRPr="00507B55" w:rsidR="001A4404">
        <w:rPr>
          <w:rFonts w:ascii="Verdana" w:hAnsi="Verdana"/>
          <w:sz w:val="22"/>
          <w:szCs w:val="22"/>
        </w:rPr>
        <w:t>centres</w:t>
      </w:r>
      <w:proofErr w:type="spellEnd"/>
      <w:r w:rsidRPr="00507B55" w:rsidR="001A4404">
        <w:rPr>
          <w:rFonts w:ascii="Verdana" w:hAnsi="Verdana"/>
          <w:sz w:val="22"/>
          <w:szCs w:val="22"/>
        </w:rPr>
        <w:t xml:space="preserve"> of activity and/or alongside main movement corridors, are no longer uncommon.  They exist in the form of Bus Shelter 6-sheet advertising displays, as Free-</w:t>
      </w:r>
      <w:r w:rsidRPr="00507B55" w:rsidR="00343B43">
        <w:rPr>
          <w:rFonts w:ascii="Verdana" w:hAnsi="Verdana"/>
          <w:sz w:val="22"/>
          <w:szCs w:val="22"/>
        </w:rPr>
        <w:t>s</w:t>
      </w:r>
      <w:r w:rsidRPr="00507B55" w:rsidR="001A4404">
        <w:rPr>
          <w:rFonts w:ascii="Verdana" w:hAnsi="Verdana"/>
          <w:sz w:val="22"/>
          <w:szCs w:val="22"/>
        </w:rPr>
        <w:t xml:space="preserve">tanding </w:t>
      </w:r>
      <w:r w:rsidRPr="00507B55" w:rsidR="00343B43">
        <w:rPr>
          <w:rFonts w:ascii="Verdana" w:hAnsi="Verdana"/>
          <w:sz w:val="22"/>
          <w:szCs w:val="22"/>
        </w:rPr>
        <w:t>advertising units (FSU</w:t>
      </w:r>
      <w:r w:rsidRPr="00507B55" w:rsidR="001A4404">
        <w:rPr>
          <w:rFonts w:ascii="Verdana" w:hAnsi="Verdana"/>
          <w:sz w:val="22"/>
          <w:szCs w:val="22"/>
        </w:rPr>
        <w:t>’s</w:t>
      </w:r>
      <w:r w:rsidRPr="00507B55" w:rsidR="00343B43">
        <w:rPr>
          <w:rFonts w:ascii="Verdana" w:hAnsi="Verdana"/>
          <w:sz w:val="22"/>
          <w:szCs w:val="22"/>
        </w:rPr>
        <w:t>)</w:t>
      </w:r>
      <w:r w:rsidRPr="00507B55" w:rsidR="001A4404">
        <w:rPr>
          <w:rFonts w:ascii="Verdana" w:hAnsi="Verdana"/>
          <w:sz w:val="22"/>
          <w:szCs w:val="22"/>
        </w:rPr>
        <w:t xml:space="preserve"> and as displays integrated within Telephone Kiosks of various kinds.</w:t>
      </w:r>
    </w:p>
    <w:p w:rsidR="001B3B61" w:rsidP="009A486F" w:rsidRDefault="001B3B61" w14:paraId="35EBA36B" w14:textId="77777777">
      <w:pPr>
        <w:ind w:left="567" w:hanging="567"/>
        <w:jc w:val="both"/>
        <w:rPr>
          <w:rFonts w:ascii="Verdana" w:hAnsi="Verdana"/>
          <w:sz w:val="22"/>
          <w:szCs w:val="22"/>
        </w:rPr>
      </w:pPr>
    </w:p>
    <w:p w:rsidRPr="00507B55" w:rsidR="001A4404" w:rsidP="009A486F" w:rsidRDefault="00735742" w14:paraId="2E369A82" w14:textId="14A91732">
      <w:pPr>
        <w:ind w:left="567" w:hanging="567"/>
        <w:jc w:val="both"/>
        <w:rPr>
          <w:rFonts w:ascii="Verdana" w:hAnsi="Verdana" w:cs="TT15Ct00" w:eastAsiaTheme="minorHAnsi"/>
          <w:sz w:val="22"/>
          <w:szCs w:val="22"/>
          <w:lang w:val="en-GB"/>
        </w:rPr>
      </w:pPr>
      <w:r>
        <w:rPr>
          <w:rFonts w:ascii="Verdana" w:hAnsi="Verdana"/>
          <w:sz w:val="22"/>
          <w:szCs w:val="22"/>
        </w:rPr>
        <w:t>3</w:t>
      </w:r>
      <w:r w:rsidRPr="00507B55" w:rsidR="001A4404">
        <w:rPr>
          <w:rFonts w:ascii="Verdana" w:hAnsi="Verdana"/>
          <w:sz w:val="22"/>
          <w:szCs w:val="22"/>
        </w:rPr>
        <w:t>.</w:t>
      </w:r>
      <w:r>
        <w:rPr>
          <w:rFonts w:ascii="Verdana" w:hAnsi="Verdana"/>
          <w:sz w:val="22"/>
          <w:szCs w:val="22"/>
        </w:rPr>
        <w:t>3</w:t>
      </w:r>
      <w:r w:rsidRPr="00507B55" w:rsidR="001A4404">
        <w:rPr>
          <w:rFonts w:ascii="Verdana" w:hAnsi="Verdana"/>
          <w:sz w:val="22"/>
          <w:szCs w:val="22"/>
        </w:rPr>
        <w:tab/>
      </w:r>
      <w:r w:rsidRPr="00507B55" w:rsidR="001A4404">
        <w:rPr>
          <w:rFonts w:ascii="Verdana" w:hAnsi="Verdana"/>
          <w:sz w:val="22"/>
          <w:szCs w:val="22"/>
        </w:rPr>
        <w:t>With this suite of applications, the proposal is to change from the existing consented situation comprising</w:t>
      </w:r>
      <w:r w:rsidR="0094029E">
        <w:rPr>
          <w:rFonts w:ascii="Verdana" w:hAnsi="Verdana"/>
          <w:sz w:val="22"/>
          <w:szCs w:val="22"/>
        </w:rPr>
        <w:t xml:space="preserve"> </w:t>
      </w:r>
      <w:r w:rsidRPr="00507B55" w:rsidR="001A4404">
        <w:rPr>
          <w:rFonts w:ascii="Verdana" w:hAnsi="Verdana"/>
          <w:sz w:val="22"/>
          <w:szCs w:val="22"/>
        </w:rPr>
        <w:t xml:space="preserve">internally illuminated 6-sheet </w:t>
      </w:r>
      <w:r w:rsidR="006C2963">
        <w:rPr>
          <w:rFonts w:ascii="Verdana" w:hAnsi="Verdana"/>
          <w:sz w:val="22"/>
          <w:szCs w:val="22"/>
        </w:rPr>
        <w:t xml:space="preserve">‘classic’ </w:t>
      </w:r>
      <w:r w:rsidRPr="00507B55" w:rsidR="0078728E">
        <w:rPr>
          <w:rFonts w:ascii="Verdana" w:hAnsi="Verdana"/>
          <w:sz w:val="22"/>
          <w:szCs w:val="22"/>
        </w:rPr>
        <w:t xml:space="preserve">advertising displays </w:t>
      </w:r>
      <w:r w:rsidRPr="00507B55" w:rsidR="00900546">
        <w:rPr>
          <w:rFonts w:ascii="Verdana" w:hAnsi="Verdana"/>
          <w:sz w:val="22"/>
          <w:szCs w:val="22"/>
        </w:rPr>
        <w:t xml:space="preserve">to </w:t>
      </w:r>
      <w:r w:rsidR="006C2963">
        <w:rPr>
          <w:rFonts w:ascii="Verdana" w:hAnsi="Verdana"/>
          <w:sz w:val="22"/>
          <w:szCs w:val="22"/>
        </w:rPr>
        <w:t>Digital displays</w:t>
      </w:r>
      <w:r w:rsidR="002B6D48">
        <w:rPr>
          <w:rFonts w:ascii="Verdana" w:hAnsi="Verdana"/>
          <w:sz w:val="22"/>
          <w:szCs w:val="22"/>
        </w:rPr>
        <w:t>,</w:t>
      </w:r>
      <w:r w:rsidR="006C2963">
        <w:rPr>
          <w:rFonts w:ascii="Verdana" w:hAnsi="Verdana"/>
          <w:sz w:val="22"/>
          <w:szCs w:val="22"/>
        </w:rPr>
        <w:t xml:space="preserve"> </w:t>
      </w:r>
      <w:r w:rsidR="00EC46FA">
        <w:rPr>
          <w:rFonts w:ascii="Verdana" w:hAnsi="Verdana"/>
          <w:sz w:val="22"/>
          <w:szCs w:val="22"/>
        </w:rPr>
        <w:t xml:space="preserve">either </w:t>
      </w:r>
      <w:r w:rsidRPr="00507B55" w:rsidR="00334E2C">
        <w:rPr>
          <w:rFonts w:ascii="Verdana" w:hAnsi="Verdana"/>
          <w:sz w:val="22"/>
          <w:szCs w:val="22"/>
        </w:rPr>
        <w:t>D</w:t>
      </w:r>
      <w:r w:rsidRPr="00507B55" w:rsidR="00900546">
        <w:rPr>
          <w:rFonts w:ascii="Verdana" w:hAnsi="Verdana"/>
          <w:sz w:val="22"/>
          <w:szCs w:val="22"/>
        </w:rPr>
        <w:t>ouble</w:t>
      </w:r>
      <w:r w:rsidR="00AC2D95">
        <w:rPr>
          <w:rFonts w:ascii="Verdana" w:hAnsi="Verdana"/>
          <w:sz w:val="22"/>
          <w:szCs w:val="22"/>
        </w:rPr>
        <w:t>-sided Digital displays</w:t>
      </w:r>
      <w:r w:rsidRPr="00507B55" w:rsidR="00900546">
        <w:rPr>
          <w:rFonts w:ascii="Verdana" w:hAnsi="Verdana"/>
          <w:sz w:val="22"/>
          <w:szCs w:val="22"/>
        </w:rPr>
        <w:t xml:space="preserve"> or </w:t>
      </w:r>
      <w:r w:rsidRPr="00507B55" w:rsidR="00334E2C">
        <w:rPr>
          <w:rFonts w:ascii="Verdana" w:hAnsi="Verdana"/>
          <w:sz w:val="22"/>
          <w:szCs w:val="22"/>
        </w:rPr>
        <w:t>S</w:t>
      </w:r>
      <w:r w:rsidRPr="00507B55" w:rsidR="00900546">
        <w:rPr>
          <w:rFonts w:ascii="Verdana" w:hAnsi="Verdana"/>
          <w:sz w:val="22"/>
          <w:szCs w:val="22"/>
        </w:rPr>
        <w:t xml:space="preserve">ingle-sided </w:t>
      </w:r>
      <w:r w:rsidRPr="00507B55" w:rsidR="00334E2C">
        <w:rPr>
          <w:rFonts w:ascii="Verdana" w:hAnsi="Verdana"/>
          <w:sz w:val="22"/>
          <w:szCs w:val="22"/>
        </w:rPr>
        <w:t>digital displays</w:t>
      </w:r>
      <w:r w:rsidRPr="00507B55" w:rsidR="001A4404">
        <w:rPr>
          <w:rFonts w:ascii="Verdana" w:hAnsi="Verdana" w:eastAsia="Times New Roman" w:cs="Calibri"/>
          <w:sz w:val="22"/>
          <w:szCs w:val="22"/>
          <w:lang w:val="en-GB" w:eastAsia="en-GB"/>
        </w:rPr>
        <w:t>.</w:t>
      </w:r>
      <w:r w:rsidR="00F90CFF">
        <w:rPr>
          <w:rFonts w:ascii="Verdana" w:hAnsi="Verdana" w:eastAsia="Times New Roman" w:cs="Calibri"/>
          <w:sz w:val="22"/>
          <w:szCs w:val="22"/>
          <w:lang w:val="en-GB" w:eastAsia="en-GB"/>
        </w:rPr>
        <w:t xml:space="preserve">  </w:t>
      </w:r>
      <w:r w:rsidR="00EF7C28">
        <w:rPr>
          <w:rFonts w:ascii="Verdana" w:hAnsi="Verdana" w:eastAsia="Times New Roman" w:cs="Calibri"/>
          <w:sz w:val="22"/>
          <w:szCs w:val="22"/>
          <w:lang w:val="en-GB" w:eastAsia="en-GB"/>
        </w:rPr>
        <w:t xml:space="preserve">Therefore, it </w:t>
      </w:r>
      <w:r w:rsidRPr="00507B55" w:rsidR="001A4404">
        <w:rPr>
          <w:rFonts w:ascii="Verdana" w:hAnsi="Verdana"/>
          <w:sz w:val="22"/>
          <w:szCs w:val="22"/>
        </w:rPr>
        <w:t>is important to weight the existing</w:t>
      </w:r>
      <w:r w:rsidR="00F90CFF">
        <w:rPr>
          <w:rFonts w:ascii="Verdana" w:hAnsi="Verdana"/>
          <w:sz w:val="22"/>
          <w:szCs w:val="22"/>
        </w:rPr>
        <w:t xml:space="preserve"> </w:t>
      </w:r>
      <w:r w:rsidR="00EF7C28">
        <w:rPr>
          <w:rFonts w:ascii="Verdana" w:hAnsi="Verdana"/>
          <w:sz w:val="22"/>
          <w:szCs w:val="22"/>
        </w:rPr>
        <w:t xml:space="preserve">consented </w:t>
      </w:r>
      <w:r w:rsidRPr="00507B55" w:rsidR="00E600C5">
        <w:rPr>
          <w:rFonts w:ascii="Verdana" w:hAnsi="Verdana"/>
          <w:sz w:val="22"/>
          <w:szCs w:val="22"/>
        </w:rPr>
        <w:t xml:space="preserve">advertising displays </w:t>
      </w:r>
      <w:r w:rsidRPr="00507B55" w:rsidR="001A4404">
        <w:rPr>
          <w:rFonts w:ascii="Verdana" w:hAnsi="Verdana"/>
          <w:sz w:val="22"/>
          <w:szCs w:val="22"/>
        </w:rPr>
        <w:t>in the planning assessment.  The</w:t>
      </w:r>
      <w:r w:rsidRPr="00507B55" w:rsidR="00846E47">
        <w:rPr>
          <w:rFonts w:ascii="Verdana" w:hAnsi="Verdana"/>
          <w:sz w:val="22"/>
          <w:szCs w:val="22"/>
        </w:rPr>
        <w:t>se</w:t>
      </w:r>
      <w:r w:rsidRPr="00507B55" w:rsidR="001A4404">
        <w:rPr>
          <w:rFonts w:ascii="Verdana" w:hAnsi="Verdana"/>
          <w:sz w:val="22"/>
          <w:szCs w:val="22"/>
        </w:rPr>
        <w:t xml:space="preserve"> displays are established existing features within the street scene and locality, within the Conservation Area (if applicable) as existing, and</w:t>
      </w:r>
      <w:r w:rsidRPr="00507B55" w:rsidR="0069111A">
        <w:rPr>
          <w:rFonts w:ascii="Verdana" w:hAnsi="Verdana"/>
          <w:sz w:val="22"/>
          <w:szCs w:val="22"/>
        </w:rPr>
        <w:t>/or</w:t>
      </w:r>
      <w:r w:rsidRPr="00507B55" w:rsidR="001A4404">
        <w:rPr>
          <w:rFonts w:ascii="Verdana" w:hAnsi="Verdana"/>
          <w:sz w:val="22"/>
          <w:szCs w:val="22"/>
        </w:rPr>
        <w:t xml:space="preserve"> within the setting of any listed buildings (if applicable) as existing</w:t>
      </w:r>
      <w:r w:rsidRPr="00507B55" w:rsidR="00FA5D71">
        <w:rPr>
          <w:rFonts w:ascii="Verdana" w:hAnsi="Verdana"/>
          <w:sz w:val="22"/>
          <w:szCs w:val="22"/>
        </w:rPr>
        <w:t>,</w:t>
      </w:r>
      <w:r w:rsidRPr="00507B55" w:rsidR="008572BB">
        <w:rPr>
          <w:rFonts w:ascii="Verdana" w:hAnsi="Verdana"/>
          <w:sz w:val="22"/>
          <w:szCs w:val="22"/>
        </w:rPr>
        <w:t xml:space="preserve"> that characterize the </w:t>
      </w:r>
      <w:r w:rsidRPr="00507B55" w:rsidR="00FA5D71">
        <w:rPr>
          <w:rFonts w:ascii="Verdana" w:hAnsi="Verdana"/>
          <w:sz w:val="22"/>
          <w:szCs w:val="22"/>
        </w:rPr>
        <w:t>locality in question</w:t>
      </w:r>
      <w:r w:rsidRPr="00507B55" w:rsidR="001A4404">
        <w:rPr>
          <w:rFonts w:ascii="Verdana" w:hAnsi="Verdana"/>
          <w:sz w:val="22"/>
          <w:szCs w:val="22"/>
        </w:rPr>
        <w:t>.</w:t>
      </w:r>
      <w:r w:rsidRPr="00507B55" w:rsidR="00345C38">
        <w:rPr>
          <w:rFonts w:ascii="Verdana" w:hAnsi="Verdana"/>
          <w:sz w:val="22"/>
          <w:szCs w:val="22"/>
        </w:rPr>
        <w:t xml:space="preserve"> </w:t>
      </w:r>
      <w:r w:rsidR="00AD7F33">
        <w:rPr>
          <w:rFonts w:ascii="Verdana" w:hAnsi="Verdana"/>
          <w:sz w:val="22"/>
          <w:szCs w:val="22"/>
        </w:rPr>
        <w:t xml:space="preserve"> </w:t>
      </w:r>
      <w:r w:rsidRPr="00507B55" w:rsidR="001A4404">
        <w:rPr>
          <w:rFonts w:ascii="Verdana" w:hAnsi="Verdana" w:cs="TT15Ct00" w:eastAsiaTheme="minorHAnsi"/>
          <w:sz w:val="22"/>
          <w:szCs w:val="22"/>
          <w:lang w:val="en-GB"/>
        </w:rPr>
        <w:t xml:space="preserve">As with the </w:t>
      </w:r>
      <w:r w:rsidRPr="00507B55" w:rsidR="0000121F">
        <w:rPr>
          <w:rFonts w:ascii="Verdana" w:hAnsi="Verdana" w:cs="TT15Ct00" w:eastAsiaTheme="minorHAnsi"/>
          <w:sz w:val="22"/>
          <w:szCs w:val="22"/>
          <w:lang w:val="en-GB"/>
        </w:rPr>
        <w:t xml:space="preserve">existing consented </w:t>
      </w:r>
      <w:r w:rsidRPr="00507B55" w:rsidR="001A4404">
        <w:rPr>
          <w:rFonts w:ascii="Verdana" w:hAnsi="Verdana" w:cs="TT15Ct00" w:eastAsiaTheme="minorHAnsi"/>
          <w:sz w:val="22"/>
          <w:szCs w:val="22"/>
          <w:lang w:val="en-GB"/>
        </w:rPr>
        <w:t xml:space="preserve">advertising displays, the replacement </w:t>
      </w:r>
      <w:r w:rsidR="00A31697">
        <w:rPr>
          <w:rFonts w:ascii="Verdana" w:hAnsi="Verdana" w:cs="TT15Ct00" w:eastAsiaTheme="minorHAnsi"/>
          <w:sz w:val="22"/>
          <w:szCs w:val="22"/>
          <w:lang w:val="en-GB"/>
        </w:rPr>
        <w:t>D</w:t>
      </w:r>
      <w:r w:rsidRPr="00507B55" w:rsidR="00D03533">
        <w:rPr>
          <w:rFonts w:ascii="Verdana" w:hAnsi="Verdana" w:cs="TT15Ct00" w:eastAsiaTheme="minorHAnsi"/>
          <w:sz w:val="22"/>
          <w:szCs w:val="22"/>
          <w:lang w:val="en-GB"/>
        </w:rPr>
        <w:t xml:space="preserve">igital </w:t>
      </w:r>
      <w:r w:rsidRPr="00507B55" w:rsidR="001A4404">
        <w:rPr>
          <w:rFonts w:ascii="Verdana" w:hAnsi="Verdana" w:cs="TT15Ct00" w:eastAsiaTheme="minorHAnsi"/>
          <w:sz w:val="22"/>
          <w:szCs w:val="22"/>
          <w:lang w:val="en-GB"/>
        </w:rPr>
        <w:t>display</w:t>
      </w:r>
      <w:r w:rsidR="00A31697">
        <w:rPr>
          <w:rFonts w:ascii="Verdana" w:hAnsi="Verdana" w:cs="TT15Ct00" w:eastAsiaTheme="minorHAnsi"/>
          <w:sz w:val="22"/>
          <w:szCs w:val="22"/>
          <w:lang w:val="en-GB"/>
        </w:rPr>
        <w:t>(</w:t>
      </w:r>
      <w:r w:rsidRPr="00507B55" w:rsidR="001A4404">
        <w:rPr>
          <w:rFonts w:ascii="Verdana" w:hAnsi="Verdana" w:cs="TT15Ct00" w:eastAsiaTheme="minorHAnsi"/>
          <w:sz w:val="22"/>
          <w:szCs w:val="22"/>
          <w:lang w:val="en-GB"/>
        </w:rPr>
        <w:t>s</w:t>
      </w:r>
      <w:r w:rsidR="00A31697">
        <w:rPr>
          <w:rFonts w:ascii="Verdana" w:hAnsi="Verdana" w:cs="TT15Ct00" w:eastAsiaTheme="minorHAnsi"/>
          <w:sz w:val="22"/>
          <w:szCs w:val="22"/>
          <w:lang w:val="en-GB"/>
        </w:rPr>
        <w:t>)</w:t>
      </w:r>
      <w:r w:rsidRPr="00507B55" w:rsidR="001A4404">
        <w:rPr>
          <w:rFonts w:ascii="Verdana" w:hAnsi="Verdana" w:cs="TT15Ct00" w:eastAsiaTheme="minorHAnsi"/>
          <w:sz w:val="22"/>
          <w:szCs w:val="22"/>
          <w:lang w:val="en-GB"/>
        </w:rPr>
        <w:t xml:space="preserve"> would be contained physically and visually within the </w:t>
      </w:r>
      <w:r w:rsidRPr="00507B55" w:rsidR="00345C38">
        <w:rPr>
          <w:rFonts w:ascii="Verdana" w:hAnsi="Verdana" w:cs="TT15Ct00" w:eastAsiaTheme="minorHAnsi"/>
          <w:sz w:val="22"/>
          <w:szCs w:val="22"/>
          <w:lang w:val="en-GB"/>
        </w:rPr>
        <w:t xml:space="preserve">Bus Shelter or </w:t>
      </w:r>
      <w:r w:rsidRPr="00507B55" w:rsidR="001A4404">
        <w:rPr>
          <w:rFonts w:ascii="Verdana" w:hAnsi="Verdana" w:cs="TT15Ct00" w:eastAsiaTheme="minorHAnsi"/>
          <w:sz w:val="22"/>
          <w:szCs w:val="22"/>
          <w:lang w:val="en-GB"/>
        </w:rPr>
        <w:t xml:space="preserve">replacement </w:t>
      </w:r>
      <w:r w:rsidRPr="00507B55" w:rsidR="00345C38">
        <w:rPr>
          <w:rFonts w:ascii="Verdana" w:hAnsi="Verdana" w:cs="TT15Ct00" w:eastAsiaTheme="minorHAnsi"/>
          <w:sz w:val="22"/>
          <w:szCs w:val="22"/>
          <w:lang w:val="en-GB"/>
        </w:rPr>
        <w:t xml:space="preserve">FSU </w:t>
      </w:r>
      <w:r w:rsidRPr="00507B55" w:rsidR="001A4404">
        <w:rPr>
          <w:rFonts w:ascii="Verdana" w:hAnsi="Verdana" w:cs="TT15Ct00" w:eastAsiaTheme="minorHAnsi"/>
          <w:sz w:val="22"/>
          <w:szCs w:val="22"/>
          <w:lang w:val="en-GB"/>
        </w:rPr>
        <w:t>within the street scene</w:t>
      </w:r>
      <w:r w:rsidRPr="00507B55" w:rsidR="0049111E">
        <w:rPr>
          <w:rFonts w:ascii="Verdana" w:hAnsi="Verdana" w:cs="TT15Ct00" w:eastAsiaTheme="minorHAnsi"/>
          <w:sz w:val="22"/>
          <w:szCs w:val="22"/>
          <w:lang w:val="en-GB"/>
        </w:rPr>
        <w:t>, whichever is appropriate</w:t>
      </w:r>
      <w:r w:rsidRPr="00507B55" w:rsidR="001A4404">
        <w:rPr>
          <w:rFonts w:ascii="Verdana" w:hAnsi="Verdana" w:cs="TT15Ct00" w:eastAsiaTheme="minorHAnsi"/>
          <w:sz w:val="22"/>
          <w:szCs w:val="22"/>
          <w:lang w:val="en-GB"/>
        </w:rPr>
        <w:t>.</w:t>
      </w:r>
    </w:p>
    <w:p w:rsidRPr="00507B55" w:rsidR="001A4404" w:rsidP="001A4404" w:rsidRDefault="001A4404" w14:paraId="7FD22651" w14:textId="77777777">
      <w:pPr>
        <w:autoSpaceDE w:val="0"/>
        <w:autoSpaceDN w:val="0"/>
        <w:adjustRightInd w:val="0"/>
        <w:ind w:left="567" w:hanging="567"/>
        <w:jc w:val="both"/>
        <w:rPr>
          <w:rFonts w:ascii="Verdana" w:hAnsi="Verdana" w:cs="TT15Ct00" w:eastAsiaTheme="minorHAnsi"/>
          <w:sz w:val="22"/>
          <w:szCs w:val="22"/>
          <w:lang w:val="en-GB"/>
        </w:rPr>
      </w:pPr>
    </w:p>
    <w:p w:rsidRPr="00507B55" w:rsidR="001A4404" w:rsidP="001A4404" w:rsidRDefault="00735742" w14:paraId="3C15015D" w14:textId="56662E26">
      <w:pPr>
        <w:autoSpaceDE w:val="0"/>
        <w:autoSpaceDN w:val="0"/>
        <w:adjustRightInd w:val="0"/>
        <w:ind w:left="567" w:hanging="567"/>
        <w:jc w:val="both"/>
        <w:rPr>
          <w:rFonts w:ascii="Verdana" w:hAnsi="Verdana" w:cs="Tahoma"/>
          <w:b/>
          <w:bCs/>
          <w:sz w:val="22"/>
          <w:szCs w:val="22"/>
          <w:u w:val="single"/>
        </w:rPr>
      </w:pPr>
      <w:r>
        <w:rPr>
          <w:rFonts w:ascii="Verdana" w:hAnsi="Verdana" w:cs="TT15Ct00" w:eastAsiaTheme="minorHAnsi"/>
          <w:sz w:val="22"/>
          <w:szCs w:val="22"/>
          <w:lang w:val="en-GB"/>
        </w:rPr>
        <w:t>3</w:t>
      </w:r>
      <w:r w:rsidRPr="00507B55" w:rsidR="001A4404">
        <w:rPr>
          <w:rFonts w:ascii="Verdana" w:hAnsi="Verdana" w:cs="TT15Ct00" w:eastAsiaTheme="minorHAnsi"/>
          <w:sz w:val="22"/>
          <w:szCs w:val="22"/>
          <w:lang w:val="en-GB"/>
        </w:rPr>
        <w:t>.</w:t>
      </w:r>
      <w:r>
        <w:rPr>
          <w:rFonts w:ascii="Verdana" w:hAnsi="Verdana" w:cs="TT15Ct00" w:eastAsiaTheme="minorHAnsi"/>
          <w:sz w:val="22"/>
          <w:szCs w:val="22"/>
          <w:lang w:val="en-GB"/>
        </w:rPr>
        <w:t>4</w:t>
      </w:r>
      <w:r w:rsidRPr="00507B55" w:rsidR="001A4404">
        <w:rPr>
          <w:rFonts w:ascii="Verdana" w:hAnsi="Verdana" w:cs="TT15Ct00" w:eastAsiaTheme="minorHAnsi"/>
          <w:sz w:val="22"/>
          <w:szCs w:val="22"/>
          <w:lang w:val="en-GB"/>
        </w:rPr>
        <w:tab/>
      </w:r>
      <w:r w:rsidRPr="00507B55" w:rsidR="001A4404">
        <w:rPr>
          <w:rFonts w:ascii="Verdana" w:hAnsi="Verdana" w:cs="TT15Ct00" w:eastAsiaTheme="minorHAnsi"/>
          <w:sz w:val="22"/>
          <w:szCs w:val="22"/>
          <w:lang w:val="en-GB"/>
        </w:rPr>
        <w:t xml:space="preserve">Digital </w:t>
      </w:r>
      <w:r w:rsidRPr="00507B55" w:rsidR="001A4404">
        <w:rPr>
          <w:rFonts w:ascii="Verdana" w:hAnsi="Verdana"/>
          <w:color w:val="000000"/>
          <w:sz w:val="22"/>
          <w:szCs w:val="22"/>
        </w:rPr>
        <w:t xml:space="preserve">displays of the </w:t>
      </w:r>
      <w:r w:rsidRPr="00507B55" w:rsidR="00AC498E">
        <w:rPr>
          <w:rFonts w:ascii="Verdana" w:hAnsi="Verdana"/>
          <w:color w:val="000000"/>
          <w:sz w:val="22"/>
          <w:szCs w:val="22"/>
        </w:rPr>
        <w:t>kind</w:t>
      </w:r>
      <w:r w:rsidRPr="00507B55" w:rsidR="001A4404">
        <w:rPr>
          <w:rFonts w:ascii="Verdana" w:hAnsi="Verdana"/>
          <w:color w:val="000000"/>
          <w:sz w:val="22"/>
          <w:szCs w:val="22"/>
        </w:rPr>
        <w:t xml:space="preserve"> proposed are well on the way to becoming the accepted norm in street furniture advertising in cities across the UK</w:t>
      </w:r>
      <w:r w:rsidRPr="00507B55" w:rsidR="00B16ED1">
        <w:rPr>
          <w:rFonts w:ascii="Verdana" w:hAnsi="Verdana"/>
          <w:color w:val="000000"/>
          <w:sz w:val="22"/>
          <w:szCs w:val="22"/>
        </w:rPr>
        <w:t xml:space="preserve">, and </w:t>
      </w:r>
      <w:r w:rsidRPr="00507B55" w:rsidR="00BD58D8">
        <w:rPr>
          <w:rFonts w:ascii="Verdana" w:hAnsi="Verdana"/>
          <w:color w:val="000000"/>
          <w:sz w:val="22"/>
          <w:szCs w:val="22"/>
        </w:rPr>
        <w:t xml:space="preserve">are </w:t>
      </w:r>
      <w:r w:rsidRPr="00507B55" w:rsidR="001A4404">
        <w:rPr>
          <w:rFonts w:ascii="Verdana" w:hAnsi="Verdana" w:cs="TT15Ct00" w:eastAsiaTheme="minorHAnsi"/>
          <w:sz w:val="22"/>
          <w:szCs w:val="22"/>
          <w:lang w:val="en-GB"/>
        </w:rPr>
        <w:t xml:space="preserve">viewed by passers-by as </w:t>
      </w:r>
      <w:r w:rsidRPr="00507B55" w:rsidR="00EB6395">
        <w:rPr>
          <w:rFonts w:ascii="Verdana" w:hAnsi="Verdana" w:cs="TT15Ct00" w:eastAsiaTheme="minorHAnsi"/>
          <w:sz w:val="22"/>
          <w:szCs w:val="22"/>
          <w:lang w:val="en-GB"/>
        </w:rPr>
        <w:t xml:space="preserve">simply </w:t>
      </w:r>
      <w:r w:rsidRPr="00507B55" w:rsidR="009C7F8D">
        <w:rPr>
          <w:rFonts w:ascii="Verdana" w:hAnsi="Verdana" w:cs="TT15Ct00" w:eastAsiaTheme="minorHAnsi"/>
          <w:sz w:val="22"/>
          <w:szCs w:val="22"/>
          <w:lang w:val="en-GB"/>
        </w:rPr>
        <w:t xml:space="preserve">the latest </w:t>
      </w:r>
      <w:r w:rsidRPr="00507B55" w:rsidR="001A4404">
        <w:rPr>
          <w:rFonts w:ascii="Verdana" w:hAnsi="Verdana" w:cs="TT15Ct00" w:eastAsiaTheme="minorHAnsi"/>
          <w:sz w:val="22"/>
          <w:szCs w:val="22"/>
          <w:lang w:val="en-GB"/>
        </w:rPr>
        <w:t>evolution</w:t>
      </w:r>
      <w:r w:rsidRPr="00507B55" w:rsidR="005909EA">
        <w:rPr>
          <w:rFonts w:ascii="Verdana" w:hAnsi="Verdana" w:cs="TT15Ct00" w:eastAsiaTheme="minorHAnsi"/>
          <w:sz w:val="22"/>
          <w:szCs w:val="22"/>
          <w:lang w:val="en-GB"/>
        </w:rPr>
        <w:t>ary</w:t>
      </w:r>
      <w:r w:rsidRPr="00507B55" w:rsidR="001A4404">
        <w:rPr>
          <w:rFonts w:ascii="Verdana" w:hAnsi="Verdana" w:cs="TT15Ct00" w:eastAsiaTheme="minorHAnsi"/>
          <w:sz w:val="22"/>
          <w:szCs w:val="22"/>
          <w:lang w:val="en-GB"/>
        </w:rPr>
        <w:t xml:space="preserve"> </w:t>
      </w:r>
      <w:r w:rsidRPr="00507B55" w:rsidR="005909EA">
        <w:rPr>
          <w:rFonts w:ascii="Verdana" w:hAnsi="Verdana" w:cs="TT15Ct00" w:eastAsiaTheme="minorHAnsi"/>
          <w:sz w:val="22"/>
          <w:szCs w:val="22"/>
          <w:lang w:val="en-GB"/>
        </w:rPr>
        <w:t xml:space="preserve">step for these </w:t>
      </w:r>
      <w:r w:rsidRPr="00507B55" w:rsidR="001A4404">
        <w:rPr>
          <w:rFonts w:ascii="Verdana" w:hAnsi="Verdana" w:cs="TT15Ct00" w:eastAsiaTheme="minorHAnsi"/>
          <w:sz w:val="22"/>
          <w:szCs w:val="22"/>
          <w:lang w:val="en-GB"/>
        </w:rPr>
        <w:t>established street furniture advertising</w:t>
      </w:r>
      <w:r w:rsidRPr="00507B55" w:rsidR="0080301B">
        <w:rPr>
          <w:rFonts w:ascii="Verdana" w:hAnsi="Verdana" w:cs="TT15Ct00" w:eastAsiaTheme="minorHAnsi"/>
          <w:sz w:val="22"/>
          <w:szCs w:val="22"/>
          <w:lang w:val="en-GB"/>
        </w:rPr>
        <w:t xml:space="preserve"> </w:t>
      </w:r>
      <w:r w:rsidRPr="00507B55" w:rsidR="00373230">
        <w:rPr>
          <w:rFonts w:ascii="Verdana" w:hAnsi="Verdana" w:cs="TT15Ct00" w:eastAsiaTheme="minorHAnsi"/>
          <w:sz w:val="22"/>
          <w:szCs w:val="22"/>
          <w:lang w:val="en-GB"/>
        </w:rPr>
        <w:t>structures</w:t>
      </w:r>
      <w:r w:rsidRPr="00507B55" w:rsidR="001A4404">
        <w:rPr>
          <w:rFonts w:ascii="Verdana" w:hAnsi="Verdana" w:cs="TT15Ct00" w:eastAsiaTheme="minorHAnsi"/>
          <w:sz w:val="22"/>
          <w:szCs w:val="22"/>
          <w:lang w:val="en-GB"/>
        </w:rPr>
        <w:t>.</w:t>
      </w:r>
      <w:r w:rsidRPr="00507B55" w:rsidR="00373230">
        <w:rPr>
          <w:rFonts w:ascii="Verdana" w:hAnsi="Verdana" w:cs="TT15Ct00" w:eastAsiaTheme="minorHAnsi"/>
          <w:sz w:val="22"/>
          <w:szCs w:val="22"/>
          <w:lang w:val="en-GB"/>
        </w:rPr>
        <w:t xml:space="preserve"> </w:t>
      </w:r>
      <w:r w:rsidRPr="00507B55" w:rsidR="001A4404">
        <w:rPr>
          <w:rFonts w:ascii="Verdana" w:hAnsi="Verdana" w:cs="TT15Ct00" w:eastAsiaTheme="minorHAnsi"/>
          <w:sz w:val="22"/>
          <w:szCs w:val="22"/>
          <w:lang w:val="en-GB"/>
        </w:rPr>
        <w:t>The</w:t>
      </w:r>
      <w:r w:rsidRPr="00507B55" w:rsidR="00AA5EF0">
        <w:rPr>
          <w:rFonts w:ascii="Verdana" w:hAnsi="Verdana" w:cs="TT15Ct00" w:eastAsiaTheme="minorHAnsi"/>
          <w:sz w:val="22"/>
          <w:szCs w:val="22"/>
          <w:lang w:val="en-GB"/>
        </w:rPr>
        <w:t xml:space="preserve"> </w:t>
      </w:r>
      <w:r w:rsidR="003209CB">
        <w:rPr>
          <w:rFonts w:ascii="Verdana" w:hAnsi="Verdana" w:cs="TT15Ct00" w:eastAsiaTheme="minorHAnsi"/>
          <w:sz w:val="22"/>
          <w:szCs w:val="22"/>
          <w:lang w:val="en-GB"/>
        </w:rPr>
        <w:t xml:space="preserve">proposed </w:t>
      </w:r>
      <w:r w:rsidRPr="00507B55" w:rsidR="00AA5EF0">
        <w:rPr>
          <w:rFonts w:ascii="Verdana" w:hAnsi="Verdana" w:cs="TT15Ct00" w:eastAsiaTheme="minorHAnsi"/>
          <w:sz w:val="22"/>
          <w:szCs w:val="22"/>
          <w:lang w:val="en-GB"/>
        </w:rPr>
        <w:t>replacement displays</w:t>
      </w:r>
      <w:r w:rsidRPr="00507B55" w:rsidR="001A4404">
        <w:rPr>
          <w:rFonts w:ascii="Verdana" w:hAnsi="Verdana" w:cs="TT15Ct00" w:eastAsiaTheme="minorHAnsi"/>
          <w:sz w:val="22"/>
          <w:szCs w:val="22"/>
          <w:lang w:val="en-GB"/>
        </w:rPr>
        <w:t xml:space="preserve"> </w:t>
      </w:r>
      <w:r w:rsidR="0026784E">
        <w:rPr>
          <w:rFonts w:ascii="Verdana" w:hAnsi="Verdana" w:cs="TT15Ct00" w:eastAsiaTheme="minorHAnsi"/>
          <w:sz w:val="22"/>
          <w:szCs w:val="22"/>
          <w:lang w:val="en-GB"/>
        </w:rPr>
        <w:t>would be</w:t>
      </w:r>
      <w:r w:rsidRPr="00507B55" w:rsidR="0033182D">
        <w:rPr>
          <w:rFonts w:ascii="Verdana" w:hAnsi="Verdana" w:cs="TT15Ct00" w:eastAsiaTheme="minorHAnsi"/>
          <w:sz w:val="22"/>
          <w:szCs w:val="22"/>
          <w:lang w:val="en-GB"/>
        </w:rPr>
        <w:t xml:space="preserve"> </w:t>
      </w:r>
      <w:r w:rsidRPr="00507B55" w:rsidR="001A4404">
        <w:rPr>
          <w:rFonts w:ascii="Verdana" w:hAnsi="Verdana" w:cs="TT15Ct00" w:eastAsiaTheme="minorHAnsi"/>
          <w:sz w:val="22"/>
          <w:szCs w:val="22"/>
          <w:lang w:val="en-GB"/>
        </w:rPr>
        <w:t>in scale and in keeping with features that characterize the localit</w:t>
      </w:r>
      <w:r w:rsidR="00F438AD">
        <w:rPr>
          <w:rFonts w:ascii="Verdana" w:hAnsi="Verdana" w:cs="TT15Ct00" w:eastAsiaTheme="minorHAnsi"/>
          <w:sz w:val="22"/>
          <w:szCs w:val="22"/>
          <w:lang w:val="en-GB"/>
        </w:rPr>
        <w:t>ies in question</w:t>
      </w:r>
      <w:r w:rsidRPr="00507B55" w:rsidR="001A4404">
        <w:rPr>
          <w:rFonts w:ascii="Verdana" w:hAnsi="Verdana" w:cs="TT15Ct00" w:eastAsiaTheme="minorHAnsi"/>
          <w:sz w:val="22"/>
          <w:szCs w:val="22"/>
          <w:lang w:val="en-GB"/>
        </w:rPr>
        <w:t xml:space="preserve"> as existing</w:t>
      </w:r>
      <w:r w:rsidR="009B7BA2">
        <w:rPr>
          <w:rFonts w:ascii="Verdana" w:hAnsi="Verdana" w:cs="TT15Ct00" w:eastAsiaTheme="minorHAnsi"/>
          <w:sz w:val="22"/>
          <w:szCs w:val="22"/>
          <w:lang w:val="en-GB"/>
        </w:rPr>
        <w:t>,</w:t>
      </w:r>
      <w:r w:rsidRPr="00507B55" w:rsidR="001A4404">
        <w:rPr>
          <w:rFonts w:ascii="Verdana" w:hAnsi="Verdana" w:cs="TT15Ct00" w:eastAsiaTheme="minorHAnsi"/>
          <w:sz w:val="22"/>
          <w:szCs w:val="22"/>
          <w:lang w:val="en-GB"/>
        </w:rPr>
        <w:t xml:space="preserve"> and would therefore preserve the amenity, character and appearance of the localit</w:t>
      </w:r>
      <w:r w:rsidR="00F438AD">
        <w:rPr>
          <w:rFonts w:ascii="Verdana" w:hAnsi="Verdana" w:cs="TT15Ct00" w:eastAsiaTheme="minorHAnsi"/>
          <w:sz w:val="22"/>
          <w:szCs w:val="22"/>
          <w:lang w:val="en-GB"/>
        </w:rPr>
        <w:t>ies</w:t>
      </w:r>
      <w:r w:rsidRPr="00507B55" w:rsidR="001A4404">
        <w:rPr>
          <w:rFonts w:ascii="Verdana" w:hAnsi="Verdana" w:cs="TT15Ct00" w:eastAsiaTheme="minorHAnsi"/>
          <w:sz w:val="22"/>
          <w:szCs w:val="22"/>
          <w:lang w:val="en-GB"/>
        </w:rPr>
        <w:t xml:space="preserve"> related to their siting.</w:t>
      </w:r>
    </w:p>
    <w:p w:rsidR="00503008" w:rsidP="00507B55" w:rsidRDefault="00503008" w14:paraId="204E2A1B" w14:textId="77777777">
      <w:pPr>
        <w:ind w:left="567"/>
        <w:jc w:val="both"/>
        <w:rPr>
          <w:rFonts w:ascii="Verdana" w:hAnsi="Verdana"/>
          <w:b/>
          <w:sz w:val="22"/>
          <w:szCs w:val="22"/>
        </w:rPr>
      </w:pPr>
    </w:p>
    <w:p w:rsidRPr="00507B55" w:rsidR="007D1F4C" w:rsidP="00507B55" w:rsidRDefault="00286606" w14:paraId="52BB0DD1" w14:textId="5A6CF05E">
      <w:pPr>
        <w:ind w:left="567"/>
        <w:jc w:val="both"/>
        <w:rPr>
          <w:rFonts w:ascii="Verdana" w:hAnsi="Verdana"/>
          <w:b/>
          <w:sz w:val="22"/>
          <w:szCs w:val="22"/>
        </w:rPr>
      </w:pPr>
      <w:r w:rsidRPr="00507B55">
        <w:rPr>
          <w:rFonts w:ascii="Verdana" w:hAnsi="Verdana"/>
          <w:b/>
          <w:sz w:val="22"/>
          <w:szCs w:val="22"/>
        </w:rPr>
        <w:t>Scale</w:t>
      </w:r>
    </w:p>
    <w:p w:rsidRPr="00735742" w:rsidR="00507B55" w:rsidP="004641B2" w:rsidRDefault="00507B55" w14:paraId="2069AAEF" w14:textId="0B641A4E">
      <w:pPr>
        <w:pStyle w:val="NoSpacing"/>
        <w:ind w:left="567" w:hanging="567"/>
        <w:jc w:val="both"/>
        <w:rPr>
          <w:rFonts w:ascii="Verdana" w:hAnsi="Verdana"/>
          <w:sz w:val="20"/>
          <w:szCs w:val="20"/>
        </w:rPr>
      </w:pPr>
    </w:p>
    <w:p w:rsidR="001C03A4" w:rsidP="004641B2" w:rsidRDefault="00735742" w14:paraId="64E50CB8" w14:textId="05A7986F">
      <w:pPr>
        <w:pStyle w:val="NoSpacing"/>
        <w:ind w:left="567" w:hanging="567"/>
        <w:jc w:val="both"/>
        <w:rPr>
          <w:rFonts w:ascii="Verdana" w:hAnsi="Verdana"/>
          <w:color w:val="000000"/>
          <w:sz w:val="22"/>
          <w:szCs w:val="22"/>
        </w:rPr>
      </w:pPr>
      <w:r>
        <w:rPr>
          <w:rFonts w:ascii="Verdana" w:hAnsi="Verdana"/>
          <w:sz w:val="22"/>
          <w:szCs w:val="22"/>
        </w:rPr>
        <w:t>3</w:t>
      </w:r>
      <w:r w:rsidRPr="00507B55" w:rsidR="00F85F13">
        <w:rPr>
          <w:rFonts w:ascii="Verdana" w:hAnsi="Verdana"/>
          <w:sz w:val="22"/>
          <w:szCs w:val="22"/>
        </w:rPr>
        <w:t>.</w:t>
      </w:r>
      <w:r>
        <w:rPr>
          <w:rFonts w:ascii="Verdana" w:hAnsi="Verdana"/>
          <w:sz w:val="22"/>
          <w:szCs w:val="22"/>
        </w:rPr>
        <w:t>5</w:t>
      </w:r>
      <w:r w:rsidRPr="00507B55" w:rsidR="00F85F13">
        <w:rPr>
          <w:rFonts w:ascii="Verdana" w:hAnsi="Verdana"/>
          <w:sz w:val="22"/>
          <w:szCs w:val="22"/>
        </w:rPr>
        <w:tab/>
      </w:r>
      <w:r w:rsidR="00C63EB8">
        <w:rPr>
          <w:rFonts w:ascii="Verdana" w:hAnsi="Verdana"/>
          <w:sz w:val="22"/>
          <w:szCs w:val="22"/>
        </w:rPr>
        <w:t>T</w:t>
      </w:r>
      <w:r w:rsidRPr="00507B55" w:rsidR="004641B2">
        <w:rPr>
          <w:rFonts w:ascii="Verdana" w:hAnsi="Verdana"/>
          <w:sz w:val="22"/>
          <w:szCs w:val="22"/>
        </w:rPr>
        <w:t xml:space="preserve">he </w:t>
      </w:r>
      <w:r w:rsidR="00F83831">
        <w:rPr>
          <w:rFonts w:ascii="Verdana" w:hAnsi="Verdana"/>
          <w:sz w:val="22"/>
          <w:szCs w:val="22"/>
        </w:rPr>
        <w:t xml:space="preserve">Bus Shelter </w:t>
      </w:r>
      <w:r w:rsidRPr="00507B55" w:rsidR="004641B2">
        <w:rPr>
          <w:rFonts w:ascii="Verdana" w:hAnsi="Verdana"/>
          <w:bCs/>
          <w:color w:val="000000"/>
          <w:sz w:val="22"/>
          <w:szCs w:val="22"/>
        </w:rPr>
        <w:t>applications</w:t>
      </w:r>
      <w:r w:rsidRPr="00507B55" w:rsidR="004641B2">
        <w:rPr>
          <w:rFonts w:ascii="Verdana" w:hAnsi="Verdana"/>
          <w:sz w:val="22"/>
          <w:szCs w:val="22"/>
        </w:rPr>
        <w:t xml:space="preserve"> propose replacing </w:t>
      </w:r>
      <w:r w:rsidR="00D27FF6">
        <w:rPr>
          <w:rFonts w:ascii="Verdana" w:hAnsi="Verdana"/>
          <w:sz w:val="22"/>
          <w:szCs w:val="22"/>
        </w:rPr>
        <w:t xml:space="preserve">either </w:t>
      </w:r>
      <w:r w:rsidRPr="00507B55" w:rsidR="004641B2">
        <w:rPr>
          <w:rFonts w:ascii="Verdana" w:hAnsi="Verdana"/>
          <w:sz w:val="22"/>
          <w:szCs w:val="22"/>
        </w:rPr>
        <w:t xml:space="preserve">existing </w:t>
      </w:r>
      <w:r w:rsidRPr="00507B55" w:rsidR="004641B2">
        <w:rPr>
          <w:rFonts w:ascii="Verdana" w:hAnsi="Verdana"/>
          <w:color w:val="000000"/>
          <w:sz w:val="22"/>
          <w:szCs w:val="22"/>
        </w:rPr>
        <w:t xml:space="preserve">Double-sided internally illuminated 6-sheet </w:t>
      </w:r>
      <w:r w:rsidR="00D27FF6">
        <w:rPr>
          <w:rFonts w:ascii="Verdana" w:hAnsi="Verdana"/>
          <w:color w:val="000000"/>
          <w:sz w:val="22"/>
          <w:szCs w:val="22"/>
        </w:rPr>
        <w:t xml:space="preserve">‘classic’ </w:t>
      </w:r>
      <w:r w:rsidR="001C03A4">
        <w:rPr>
          <w:rFonts w:ascii="Verdana" w:hAnsi="Verdana"/>
          <w:color w:val="000000"/>
          <w:sz w:val="22"/>
          <w:szCs w:val="22"/>
        </w:rPr>
        <w:t xml:space="preserve">advertising displays with </w:t>
      </w:r>
      <w:r w:rsidR="00BB4431">
        <w:rPr>
          <w:rFonts w:ascii="Verdana" w:hAnsi="Verdana"/>
          <w:color w:val="000000"/>
          <w:sz w:val="22"/>
          <w:szCs w:val="22"/>
        </w:rPr>
        <w:t xml:space="preserve">either </w:t>
      </w:r>
      <w:r w:rsidR="001C03A4">
        <w:rPr>
          <w:rFonts w:ascii="Verdana" w:hAnsi="Verdana"/>
          <w:color w:val="000000"/>
          <w:sz w:val="22"/>
          <w:szCs w:val="22"/>
        </w:rPr>
        <w:t>Double</w:t>
      </w:r>
      <w:r w:rsidR="00FC78AF">
        <w:rPr>
          <w:rFonts w:ascii="Verdana" w:hAnsi="Verdana"/>
          <w:color w:val="000000"/>
          <w:sz w:val="22"/>
          <w:szCs w:val="22"/>
        </w:rPr>
        <w:t>-sided Digital</w:t>
      </w:r>
      <w:r w:rsidR="001C03A4">
        <w:rPr>
          <w:rFonts w:ascii="Verdana" w:hAnsi="Verdana"/>
          <w:color w:val="000000"/>
          <w:sz w:val="22"/>
          <w:szCs w:val="22"/>
        </w:rPr>
        <w:t xml:space="preserve"> or Single-sided </w:t>
      </w:r>
      <w:r w:rsidR="00F547FB">
        <w:rPr>
          <w:rFonts w:ascii="Verdana" w:hAnsi="Verdana"/>
          <w:color w:val="000000"/>
          <w:sz w:val="22"/>
          <w:szCs w:val="22"/>
        </w:rPr>
        <w:t>D</w:t>
      </w:r>
      <w:r w:rsidR="001C03A4">
        <w:rPr>
          <w:rFonts w:ascii="Verdana" w:hAnsi="Verdana"/>
          <w:color w:val="000000"/>
          <w:sz w:val="22"/>
          <w:szCs w:val="22"/>
        </w:rPr>
        <w:t>igital displays</w:t>
      </w:r>
      <w:r w:rsidR="00B23BDA">
        <w:rPr>
          <w:rFonts w:ascii="Verdana" w:hAnsi="Verdana"/>
          <w:color w:val="000000"/>
          <w:sz w:val="22"/>
          <w:szCs w:val="22"/>
        </w:rPr>
        <w:t xml:space="preserve">.  With </w:t>
      </w:r>
      <w:r w:rsidR="00F547FB">
        <w:rPr>
          <w:rFonts w:ascii="Verdana" w:hAnsi="Verdana"/>
          <w:color w:val="000000"/>
          <w:sz w:val="22"/>
          <w:szCs w:val="22"/>
        </w:rPr>
        <w:t xml:space="preserve">the FSU’s, </w:t>
      </w:r>
      <w:r w:rsidR="004027E0">
        <w:rPr>
          <w:rFonts w:ascii="Verdana" w:hAnsi="Verdana"/>
          <w:color w:val="000000"/>
          <w:sz w:val="22"/>
          <w:szCs w:val="22"/>
        </w:rPr>
        <w:t xml:space="preserve">the proposal is to </w:t>
      </w:r>
      <w:r w:rsidR="00F547FB">
        <w:rPr>
          <w:rFonts w:ascii="Verdana" w:hAnsi="Verdana"/>
          <w:color w:val="000000"/>
          <w:sz w:val="22"/>
          <w:szCs w:val="22"/>
        </w:rPr>
        <w:t>replac</w:t>
      </w:r>
      <w:r w:rsidR="004027E0">
        <w:rPr>
          <w:rFonts w:ascii="Verdana" w:hAnsi="Verdana"/>
          <w:color w:val="000000"/>
          <w:sz w:val="22"/>
          <w:szCs w:val="22"/>
        </w:rPr>
        <w:t>e</w:t>
      </w:r>
      <w:r w:rsidR="00F547FB">
        <w:rPr>
          <w:rFonts w:ascii="Verdana" w:hAnsi="Verdana"/>
          <w:color w:val="000000"/>
          <w:sz w:val="22"/>
          <w:szCs w:val="22"/>
        </w:rPr>
        <w:t xml:space="preserve"> existing </w:t>
      </w:r>
      <w:r w:rsidR="00500FEA">
        <w:rPr>
          <w:rFonts w:ascii="Verdana" w:hAnsi="Verdana"/>
          <w:color w:val="000000"/>
          <w:sz w:val="22"/>
          <w:szCs w:val="22"/>
        </w:rPr>
        <w:t>Single-digital display</w:t>
      </w:r>
      <w:r w:rsidR="004027E0">
        <w:rPr>
          <w:rFonts w:ascii="Verdana" w:hAnsi="Verdana"/>
          <w:color w:val="000000"/>
          <w:sz w:val="22"/>
          <w:szCs w:val="22"/>
        </w:rPr>
        <w:t xml:space="preserve"> </w:t>
      </w:r>
      <w:r w:rsidR="0080489A">
        <w:rPr>
          <w:rFonts w:ascii="Verdana" w:hAnsi="Verdana"/>
          <w:color w:val="000000"/>
          <w:sz w:val="22"/>
          <w:szCs w:val="22"/>
        </w:rPr>
        <w:t>FSU’s</w:t>
      </w:r>
      <w:r w:rsidR="00500FEA">
        <w:rPr>
          <w:rFonts w:ascii="Verdana" w:hAnsi="Verdana"/>
          <w:color w:val="000000"/>
          <w:sz w:val="22"/>
          <w:szCs w:val="22"/>
        </w:rPr>
        <w:t xml:space="preserve"> with Double-sided Digital </w:t>
      </w:r>
      <w:r w:rsidR="0080489A">
        <w:rPr>
          <w:rFonts w:ascii="Verdana" w:hAnsi="Verdana"/>
          <w:color w:val="000000"/>
          <w:sz w:val="22"/>
          <w:szCs w:val="22"/>
        </w:rPr>
        <w:t>FSU’s</w:t>
      </w:r>
      <w:r w:rsidR="001C03A4">
        <w:rPr>
          <w:rFonts w:ascii="Verdana" w:hAnsi="Verdana" w:eastAsia="Times New Roman" w:cs="Calibri"/>
          <w:sz w:val="22"/>
          <w:szCs w:val="22"/>
          <w:lang w:val="en-GB" w:eastAsia="en-GB"/>
        </w:rPr>
        <w:t>.</w:t>
      </w:r>
    </w:p>
    <w:p w:rsidRPr="00507B55" w:rsidR="00267D1A" w:rsidP="00780A70" w:rsidRDefault="00267D1A" w14:paraId="4D04A95F" w14:textId="77777777">
      <w:pPr>
        <w:pStyle w:val="NoSpacing"/>
        <w:ind w:left="567" w:hanging="567"/>
        <w:jc w:val="both"/>
        <w:rPr>
          <w:rFonts w:ascii="Verdana" w:hAnsi="Verdana"/>
          <w:color w:val="000000"/>
          <w:sz w:val="22"/>
          <w:szCs w:val="22"/>
        </w:rPr>
      </w:pPr>
    </w:p>
    <w:p w:rsidRPr="00507B55" w:rsidR="00AA5E82" w:rsidP="006F0378" w:rsidRDefault="00735742" w14:paraId="52BB0DD3" w14:textId="05913499">
      <w:pPr>
        <w:ind w:left="567" w:hanging="567"/>
        <w:jc w:val="both"/>
        <w:rPr>
          <w:rFonts w:ascii="Verdana" w:hAnsi="Verdana"/>
          <w:sz w:val="22"/>
          <w:szCs w:val="22"/>
          <w:lang w:eastAsia="en-GB"/>
        </w:rPr>
      </w:pPr>
      <w:r>
        <w:rPr>
          <w:rFonts w:ascii="Verdana" w:hAnsi="Verdana"/>
          <w:color w:val="000000"/>
          <w:sz w:val="22"/>
          <w:szCs w:val="22"/>
        </w:rPr>
        <w:t>3</w:t>
      </w:r>
      <w:r w:rsidRPr="00507B55" w:rsidR="00267D1A">
        <w:rPr>
          <w:rFonts w:ascii="Verdana" w:hAnsi="Verdana"/>
          <w:color w:val="000000"/>
          <w:sz w:val="22"/>
          <w:szCs w:val="22"/>
        </w:rPr>
        <w:t>.</w:t>
      </w:r>
      <w:r>
        <w:rPr>
          <w:rFonts w:ascii="Verdana" w:hAnsi="Verdana"/>
          <w:color w:val="000000"/>
          <w:sz w:val="22"/>
          <w:szCs w:val="22"/>
        </w:rPr>
        <w:t>6</w:t>
      </w:r>
      <w:r w:rsidRPr="00507B55" w:rsidR="00267D1A">
        <w:rPr>
          <w:rFonts w:ascii="Verdana" w:hAnsi="Verdana"/>
          <w:color w:val="000000"/>
          <w:sz w:val="22"/>
          <w:szCs w:val="22"/>
        </w:rPr>
        <w:tab/>
      </w:r>
      <w:r w:rsidRPr="00507B55" w:rsidR="00AA5E82">
        <w:rPr>
          <w:rFonts w:ascii="Verdana" w:hAnsi="Verdana"/>
          <w:sz w:val="22"/>
          <w:szCs w:val="22"/>
        </w:rPr>
        <w:t xml:space="preserve">The existing internally illuminated </w:t>
      </w:r>
      <w:r w:rsidRPr="00507B55" w:rsidR="00421D21">
        <w:rPr>
          <w:rFonts w:ascii="Verdana" w:hAnsi="Verdana"/>
          <w:sz w:val="22"/>
          <w:szCs w:val="22"/>
        </w:rPr>
        <w:t xml:space="preserve">6-sheet </w:t>
      </w:r>
      <w:r w:rsidR="007B653D">
        <w:rPr>
          <w:rFonts w:ascii="Verdana" w:hAnsi="Verdana"/>
          <w:sz w:val="22"/>
          <w:szCs w:val="22"/>
        </w:rPr>
        <w:t xml:space="preserve">‘classic’ </w:t>
      </w:r>
      <w:r w:rsidR="001C03A4">
        <w:rPr>
          <w:rFonts w:ascii="Verdana" w:hAnsi="Verdana"/>
          <w:sz w:val="22"/>
          <w:szCs w:val="22"/>
        </w:rPr>
        <w:t>advertising displays</w:t>
      </w:r>
      <w:r w:rsidRPr="00507B55" w:rsidR="008223DD">
        <w:rPr>
          <w:rFonts w:ascii="Verdana" w:hAnsi="Verdana"/>
          <w:sz w:val="22"/>
          <w:szCs w:val="22"/>
        </w:rPr>
        <w:t xml:space="preserve"> </w:t>
      </w:r>
      <w:r w:rsidR="007B653D">
        <w:rPr>
          <w:rFonts w:ascii="Verdana" w:hAnsi="Verdana"/>
          <w:sz w:val="22"/>
          <w:szCs w:val="22"/>
        </w:rPr>
        <w:t xml:space="preserve">each </w:t>
      </w:r>
      <w:r w:rsidR="00373B64">
        <w:rPr>
          <w:rFonts w:ascii="Verdana" w:hAnsi="Verdana"/>
          <w:sz w:val="22"/>
          <w:szCs w:val="22"/>
        </w:rPr>
        <w:t xml:space="preserve">measure 1800mm H x 1200mm W with </w:t>
      </w:r>
      <w:r w:rsidRPr="00507B55" w:rsidR="00AA5E82">
        <w:rPr>
          <w:rFonts w:ascii="Verdana" w:hAnsi="Verdana"/>
          <w:sz w:val="22"/>
          <w:szCs w:val="22"/>
        </w:rPr>
        <w:t xml:space="preserve">an active area </w:t>
      </w:r>
      <w:r w:rsidRPr="00507B55" w:rsidR="00B820D8">
        <w:rPr>
          <w:rFonts w:ascii="Verdana" w:hAnsi="Verdana"/>
          <w:sz w:val="22"/>
          <w:szCs w:val="22"/>
        </w:rPr>
        <w:t xml:space="preserve">per display </w:t>
      </w:r>
      <w:r w:rsidRPr="00507B55" w:rsidR="00647DD0">
        <w:rPr>
          <w:rFonts w:ascii="Verdana" w:hAnsi="Verdana"/>
          <w:sz w:val="22"/>
          <w:szCs w:val="22"/>
        </w:rPr>
        <w:t>of</w:t>
      </w:r>
      <w:r w:rsidRPr="00507B55" w:rsidR="00AA5E82">
        <w:rPr>
          <w:rFonts w:ascii="Verdana" w:hAnsi="Verdana"/>
          <w:sz w:val="22"/>
          <w:szCs w:val="22"/>
        </w:rPr>
        <w:t xml:space="preserve"> 2sq.m.</w:t>
      </w:r>
      <w:r w:rsidRPr="00507B55" w:rsidR="00B820D8">
        <w:rPr>
          <w:rFonts w:ascii="Verdana" w:hAnsi="Verdana"/>
          <w:sz w:val="22"/>
          <w:szCs w:val="22"/>
        </w:rPr>
        <w:t xml:space="preserve"> </w:t>
      </w:r>
      <w:r w:rsidRPr="00507B55" w:rsidR="000C14B1">
        <w:rPr>
          <w:rFonts w:ascii="Verdana" w:hAnsi="Verdana"/>
          <w:sz w:val="22"/>
          <w:szCs w:val="22"/>
        </w:rPr>
        <w:t xml:space="preserve"> </w:t>
      </w:r>
      <w:r w:rsidRPr="00507B55" w:rsidR="00AA5E82">
        <w:rPr>
          <w:rFonts w:ascii="Verdana" w:hAnsi="Verdana"/>
          <w:sz w:val="22"/>
          <w:szCs w:val="22"/>
        </w:rPr>
        <w:t xml:space="preserve">The </w:t>
      </w:r>
      <w:r w:rsidR="001C03A4">
        <w:rPr>
          <w:rFonts w:ascii="Verdana" w:hAnsi="Verdana"/>
          <w:sz w:val="22"/>
          <w:szCs w:val="22"/>
        </w:rPr>
        <w:t xml:space="preserve">proposed replacement </w:t>
      </w:r>
      <w:r w:rsidR="007B653D">
        <w:rPr>
          <w:rFonts w:ascii="Verdana" w:hAnsi="Verdana"/>
          <w:sz w:val="22"/>
          <w:szCs w:val="22"/>
        </w:rPr>
        <w:t>D</w:t>
      </w:r>
      <w:r w:rsidRPr="00507B55" w:rsidR="00B820D8">
        <w:rPr>
          <w:rFonts w:ascii="Verdana" w:hAnsi="Verdana"/>
          <w:sz w:val="22"/>
          <w:szCs w:val="22"/>
        </w:rPr>
        <w:t xml:space="preserve">igital displays </w:t>
      </w:r>
      <w:r w:rsidRPr="00507B55" w:rsidR="00AA5E82">
        <w:rPr>
          <w:rFonts w:ascii="Verdana" w:hAnsi="Verdana"/>
          <w:sz w:val="22"/>
          <w:szCs w:val="22"/>
        </w:rPr>
        <w:t>measure</w:t>
      </w:r>
      <w:r w:rsidR="00AE4A76">
        <w:rPr>
          <w:rFonts w:ascii="Verdana" w:hAnsi="Verdana"/>
          <w:sz w:val="22"/>
          <w:szCs w:val="22"/>
        </w:rPr>
        <w:t xml:space="preserve"> </w:t>
      </w:r>
      <w:r w:rsidRPr="00AB67BD" w:rsidR="00AE4A76">
        <w:rPr>
          <w:rFonts w:ascii="Verdana" w:hAnsi="Verdana"/>
          <w:sz w:val="22"/>
          <w:szCs w:val="22"/>
        </w:rPr>
        <w:t>1635mm H x 92</w:t>
      </w:r>
      <w:r w:rsidR="00123D48">
        <w:rPr>
          <w:rFonts w:ascii="Verdana" w:hAnsi="Verdana"/>
          <w:sz w:val="22"/>
          <w:szCs w:val="22"/>
        </w:rPr>
        <w:t>4</w:t>
      </w:r>
      <w:r w:rsidRPr="00AB67BD" w:rsidR="00AE4A76">
        <w:rPr>
          <w:rFonts w:ascii="Verdana" w:hAnsi="Verdana"/>
          <w:sz w:val="22"/>
          <w:szCs w:val="22"/>
        </w:rPr>
        <w:t xml:space="preserve">mm </w:t>
      </w:r>
      <w:r w:rsidR="00AE4A76">
        <w:rPr>
          <w:rFonts w:ascii="Verdana" w:hAnsi="Verdana"/>
          <w:sz w:val="22"/>
          <w:szCs w:val="22"/>
        </w:rPr>
        <w:t xml:space="preserve">W </w:t>
      </w:r>
      <w:r w:rsidRPr="00AB67BD" w:rsidR="00AE4A76">
        <w:rPr>
          <w:rFonts w:ascii="Verdana" w:hAnsi="Verdana"/>
          <w:sz w:val="22"/>
          <w:szCs w:val="22"/>
        </w:rPr>
        <w:t xml:space="preserve">with an active area </w:t>
      </w:r>
      <w:r w:rsidRPr="00137DC6" w:rsidR="00AE4A76">
        <w:rPr>
          <w:rFonts w:ascii="Verdana" w:hAnsi="Verdana"/>
          <w:sz w:val="22"/>
          <w:szCs w:val="22"/>
        </w:rPr>
        <w:t>of 1.5sq.m each.</w:t>
      </w:r>
      <w:r w:rsidR="006F0378">
        <w:rPr>
          <w:rFonts w:ascii="Verdana" w:hAnsi="Verdana"/>
          <w:sz w:val="22"/>
          <w:szCs w:val="22"/>
        </w:rPr>
        <w:t xml:space="preserve"> </w:t>
      </w:r>
      <w:r w:rsidRPr="00507B55" w:rsidR="00AA5E82">
        <w:rPr>
          <w:rFonts w:ascii="Verdana" w:hAnsi="Verdana"/>
          <w:sz w:val="22"/>
          <w:szCs w:val="22"/>
        </w:rPr>
        <w:t xml:space="preserve">Therefore, the replacement </w:t>
      </w:r>
      <w:r w:rsidRPr="00507B55" w:rsidR="00E71D1C">
        <w:rPr>
          <w:rFonts w:ascii="Verdana" w:hAnsi="Verdana"/>
          <w:sz w:val="22"/>
          <w:szCs w:val="22"/>
        </w:rPr>
        <w:t xml:space="preserve">digital </w:t>
      </w:r>
      <w:r w:rsidRPr="00507B55" w:rsidR="00AA5E82">
        <w:rPr>
          <w:rFonts w:ascii="Verdana" w:hAnsi="Verdana"/>
          <w:sz w:val="22"/>
          <w:szCs w:val="22"/>
        </w:rPr>
        <w:t>displays would be less tall, narrower and 0.</w:t>
      </w:r>
      <w:r w:rsidR="00AB67BD">
        <w:rPr>
          <w:rFonts w:ascii="Verdana" w:hAnsi="Verdana"/>
          <w:sz w:val="22"/>
          <w:szCs w:val="22"/>
        </w:rPr>
        <w:t>5</w:t>
      </w:r>
      <w:r w:rsidRPr="00507B55" w:rsidR="00AA5E82">
        <w:rPr>
          <w:rFonts w:ascii="Verdana" w:hAnsi="Verdana"/>
          <w:sz w:val="22"/>
          <w:szCs w:val="22"/>
        </w:rPr>
        <w:t>sq.m (2</w:t>
      </w:r>
      <w:r w:rsidR="00AB67BD">
        <w:rPr>
          <w:rFonts w:ascii="Verdana" w:hAnsi="Verdana"/>
          <w:sz w:val="22"/>
          <w:szCs w:val="22"/>
        </w:rPr>
        <w:t>5</w:t>
      </w:r>
      <w:r w:rsidRPr="00507B55" w:rsidR="00AA5E82">
        <w:rPr>
          <w:rFonts w:ascii="Verdana" w:hAnsi="Verdana"/>
          <w:sz w:val="22"/>
          <w:szCs w:val="22"/>
        </w:rPr>
        <w:t xml:space="preserve">%) smaller in terms of display active area compared to the existing internally illuminated </w:t>
      </w:r>
      <w:r w:rsidRPr="00507B55" w:rsidR="00C31C6F">
        <w:rPr>
          <w:rFonts w:ascii="Verdana" w:hAnsi="Verdana"/>
          <w:sz w:val="22"/>
          <w:szCs w:val="22"/>
        </w:rPr>
        <w:t xml:space="preserve">6-sheet </w:t>
      </w:r>
      <w:r w:rsidR="00F777AA">
        <w:rPr>
          <w:rFonts w:ascii="Verdana" w:hAnsi="Verdana"/>
          <w:sz w:val="22"/>
          <w:szCs w:val="22"/>
        </w:rPr>
        <w:t xml:space="preserve">advertising </w:t>
      </w:r>
      <w:r w:rsidRPr="00507B55" w:rsidR="00AA5E82">
        <w:rPr>
          <w:rFonts w:ascii="Verdana" w:hAnsi="Verdana"/>
          <w:sz w:val="22"/>
          <w:szCs w:val="22"/>
        </w:rPr>
        <w:t>displays.</w:t>
      </w:r>
      <w:r w:rsidR="002E0208">
        <w:rPr>
          <w:rFonts w:ascii="Verdana" w:hAnsi="Verdana"/>
          <w:sz w:val="22"/>
          <w:szCs w:val="22"/>
        </w:rPr>
        <w:t xml:space="preserve">  In short, they would be appreciably smaller than the existing displays.</w:t>
      </w:r>
    </w:p>
    <w:p w:rsidRPr="0073364D" w:rsidR="00193064" w:rsidP="00780A70" w:rsidRDefault="00193064" w14:paraId="6FC28480" w14:textId="77777777">
      <w:pPr>
        <w:ind w:left="567" w:hanging="567"/>
        <w:jc w:val="both"/>
        <w:rPr>
          <w:rFonts w:ascii="Verdana" w:hAnsi="Verdana"/>
          <w:b/>
          <w:sz w:val="22"/>
          <w:szCs w:val="22"/>
        </w:rPr>
      </w:pPr>
    </w:p>
    <w:p w:rsidRPr="0073364D" w:rsidR="002E0823" w:rsidP="00780A70" w:rsidRDefault="002E0823" w14:paraId="52BB0DD4" w14:textId="43A653CF">
      <w:pPr>
        <w:ind w:left="567" w:hanging="567"/>
        <w:jc w:val="both"/>
        <w:rPr>
          <w:rFonts w:ascii="Verdana" w:hAnsi="Verdana"/>
          <w:b/>
          <w:sz w:val="22"/>
          <w:szCs w:val="22"/>
        </w:rPr>
      </w:pPr>
      <w:r w:rsidRPr="0073364D">
        <w:rPr>
          <w:rFonts w:ascii="Verdana" w:hAnsi="Verdana"/>
          <w:b/>
          <w:sz w:val="22"/>
          <w:szCs w:val="22"/>
        </w:rPr>
        <w:tab/>
      </w:r>
      <w:r w:rsidRPr="0073364D">
        <w:rPr>
          <w:rFonts w:ascii="Verdana" w:hAnsi="Verdana"/>
          <w:b/>
          <w:sz w:val="22"/>
          <w:szCs w:val="22"/>
        </w:rPr>
        <w:t>Means of illumination</w:t>
      </w:r>
    </w:p>
    <w:p w:rsidRPr="0073364D" w:rsidR="002E0823" w:rsidP="00780A70" w:rsidRDefault="002E0823" w14:paraId="52BB0DD5" w14:textId="7777777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sz w:val="22"/>
          <w:szCs w:val="22"/>
        </w:rPr>
      </w:pPr>
    </w:p>
    <w:p w:rsidRPr="0073364D" w:rsidR="002E0823" w:rsidP="00780A70" w:rsidRDefault="002E0823" w14:paraId="52BB0DD6" w14:textId="39ECA8D2">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sz w:val="22"/>
          <w:szCs w:val="22"/>
        </w:rPr>
      </w:pPr>
      <w:r w:rsidRPr="0073364D">
        <w:rPr>
          <w:rFonts w:ascii="Verdana" w:hAnsi="Verdana"/>
          <w:sz w:val="22"/>
          <w:szCs w:val="22"/>
        </w:rPr>
        <w:t>3.</w:t>
      </w:r>
      <w:r w:rsidR="0073364D">
        <w:rPr>
          <w:rFonts w:ascii="Verdana" w:hAnsi="Verdana"/>
          <w:sz w:val="22"/>
          <w:szCs w:val="22"/>
        </w:rPr>
        <w:t>7</w:t>
      </w:r>
      <w:r w:rsidRPr="0073364D">
        <w:rPr>
          <w:rFonts w:ascii="Verdana" w:hAnsi="Verdana"/>
          <w:sz w:val="22"/>
          <w:szCs w:val="22"/>
        </w:rPr>
        <w:tab/>
      </w:r>
      <w:r w:rsidRPr="0072561A">
        <w:rPr>
          <w:rFonts w:ascii="Verdana" w:hAnsi="Verdana"/>
          <w:sz w:val="22"/>
          <w:szCs w:val="22"/>
        </w:rPr>
        <w:t>The proposed</w:t>
      </w:r>
      <w:r w:rsidRPr="0073364D">
        <w:rPr>
          <w:rFonts w:ascii="Verdana" w:hAnsi="Verdana"/>
          <w:sz w:val="22"/>
          <w:szCs w:val="22"/>
        </w:rPr>
        <w:t xml:space="preserve"> replacement </w:t>
      </w:r>
      <w:r w:rsidR="00B43EFC">
        <w:rPr>
          <w:rFonts w:ascii="Verdana" w:hAnsi="Verdana"/>
          <w:sz w:val="22"/>
          <w:szCs w:val="22"/>
        </w:rPr>
        <w:t xml:space="preserve">Digital </w:t>
      </w:r>
      <w:r w:rsidRPr="0073364D">
        <w:rPr>
          <w:rFonts w:ascii="Verdana" w:hAnsi="Verdana"/>
          <w:sz w:val="22"/>
          <w:szCs w:val="22"/>
        </w:rPr>
        <w:t xml:space="preserve">displays would be </w:t>
      </w:r>
      <w:r w:rsidR="0014220E">
        <w:rPr>
          <w:rFonts w:ascii="Verdana" w:hAnsi="Verdana"/>
          <w:sz w:val="22"/>
          <w:szCs w:val="22"/>
        </w:rPr>
        <w:t>L</w:t>
      </w:r>
      <w:r w:rsidRPr="0073364D">
        <w:rPr>
          <w:rFonts w:ascii="Verdana" w:hAnsi="Verdana"/>
          <w:sz w:val="22"/>
          <w:szCs w:val="22"/>
        </w:rPr>
        <w:t xml:space="preserve">iquid </w:t>
      </w:r>
      <w:r w:rsidR="0014220E">
        <w:rPr>
          <w:rFonts w:ascii="Verdana" w:hAnsi="Verdana"/>
          <w:sz w:val="22"/>
          <w:szCs w:val="22"/>
        </w:rPr>
        <w:t>C</w:t>
      </w:r>
      <w:r w:rsidRPr="0073364D">
        <w:rPr>
          <w:rFonts w:ascii="Verdana" w:hAnsi="Verdana"/>
          <w:sz w:val="22"/>
          <w:szCs w:val="22"/>
        </w:rPr>
        <w:t xml:space="preserve">rystal </w:t>
      </w:r>
      <w:r w:rsidR="0014220E">
        <w:rPr>
          <w:rFonts w:ascii="Verdana" w:hAnsi="Verdana"/>
          <w:sz w:val="22"/>
          <w:szCs w:val="22"/>
        </w:rPr>
        <w:t>D</w:t>
      </w:r>
      <w:r w:rsidRPr="0073364D">
        <w:rPr>
          <w:rFonts w:ascii="Verdana" w:hAnsi="Verdana"/>
          <w:sz w:val="22"/>
          <w:szCs w:val="22"/>
        </w:rPr>
        <w:t xml:space="preserve">isplay (LCD) </w:t>
      </w:r>
      <w:r w:rsidR="0014220E">
        <w:rPr>
          <w:rFonts w:ascii="Verdana" w:hAnsi="Verdana"/>
          <w:sz w:val="22"/>
          <w:szCs w:val="22"/>
        </w:rPr>
        <w:t xml:space="preserve">digital </w:t>
      </w:r>
      <w:r w:rsidRPr="0073364D">
        <w:rPr>
          <w:rFonts w:ascii="Verdana" w:hAnsi="Verdana"/>
          <w:sz w:val="22"/>
          <w:szCs w:val="22"/>
        </w:rPr>
        <w:t>panels.  This panel type represents the latest technology for outdoor signage applications and, accordingly, displays of this kind are increasingly common</w:t>
      </w:r>
      <w:r w:rsidR="0072561A">
        <w:rPr>
          <w:rFonts w:ascii="Verdana" w:hAnsi="Verdana"/>
          <w:sz w:val="22"/>
          <w:szCs w:val="22"/>
        </w:rPr>
        <w:t>place</w:t>
      </w:r>
      <w:r w:rsidRPr="0073364D">
        <w:rPr>
          <w:rFonts w:ascii="Verdana" w:hAnsi="Verdana"/>
          <w:sz w:val="22"/>
          <w:szCs w:val="22"/>
        </w:rPr>
        <w:t xml:space="preserve"> in cities across the UK, in </w:t>
      </w:r>
      <w:proofErr w:type="spellStart"/>
      <w:r w:rsidRPr="0073364D">
        <w:rPr>
          <w:rFonts w:ascii="Verdana" w:hAnsi="Verdana"/>
          <w:sz w:val="22"/>
          <w:szCs w:val="22"/>
        </w:rPr>
        <w:t>centres</w:t>
      </w:r>
      <w:proofErr w:type="spellEnd"/>
      <w:r w:rsidRPr="0073364D">
        <w:rPr>
          <w:rFonts w:ascii="Verdana" w:hAnsi="Verdana"/>
          <w:sz w:val="22"/>
          <w:szCs w:val="22"/>
        </w:rPr>
        <w:t xml:space="preserve"> of activity and/or alongside main movement corridors.</w:t>
      </w:r>
      <w:r w:rsidRPr="0073364D" w:rsidR="00D2145F">
        <w:rPr>
          <w:rFonts w:ascii="Verdana" w:hAnsi="Verdana"/>
          <w:sz w:val="22"/>
          <w:szCs w:val="22"/>
        </w:rPr>
        <w:t xml:space="preserve">  There are currently in the region of 4,000 such street furniture digital displays across the UK.</w:t>
      </w:r>
    </w:p>
    <w:p w:rsidRPr="0073364D" w:rsidR="00192A72" w:rsidP="00780A70" w:rsidRDefault="00192A72" w14:paraId="52BB0DD7" w14:textId="7777777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sz w:val="22"/>
          <w:szCs w:val="22"/>
        </w:rPr>
      </w:pPr>
    </w:p>
    <w:p w:rsidRPr="0073364D" w:rsidR="00872EC7" w:rsidP="00872EC7" w:rsidRDefault="002E0823" w14:paraId="0AD8816B" w14:textId="65A62BF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eastAsiaTheme="minorHAnsi"/>
          <w:color w:val="000000"/>
          <w:sz w:val="22"/>
          <w:szCs w:val="22"/>
          <w:lang w:val="en-GB" w:eastAsia="en-GB"/>
        </w:rPr>
      </w:pPr>
      <w:r w:rsidRPr="0073364D">
        <w:rPr>
          <w:rFonts w:ascii="Verdana" w:hAnsi="Verdana"/>
          <w:sz w:val="22"/>
          <w:szCs w:val="22"/>
        </w:rPr>
        <w:t>3.</w:t>
      </w:r>
      <w:r w:rsidR="0073364D">
        <w:rPr>
          <w:rFonts w:ascii="Verdana" w:hAnsi="Verdana"/>
          <w:sz w:val="22"/>
          <w:szCs w:val="22"/>
        </w:rPr>
        <w:t>8</w:t>
      </w:r>
      <w:r w:rsidRPr="0073364D">
        <w:rPr>
          <w:rFonts w:ascii="Verdana" w:hAnsi="Verdana"/>
          <w:sz w:val="22"/>
          <w:szCs w:val="22"/>
        </w:rPr>
        <w:tab/>
      </w:r>
      <w:r w:rsidRPr="0073364D" w:rsidR="00A27585">
        <w:rPr>
          <w:rFonts w:ascii="Verdana" w:hAnsi="Verdana"/>
          <w:sz w:val="22"/>
          <w:szCs w:val="22"/>
        </w:rPr>
        <w:t xml:space="preserve">The replacement digital displays would </w:t>
      </w:r>
      <w:r w:rsidR="00C45665">
        <w:rPr>
          <w:rFonts w:ascii="Verdana" w:hAnsi="Verdana"/>
          <w:sz w:val="22"/>
          <w:szCs w:val="22"/>
        </w:rPr>
        <w:t>portray</w:t>
      </w:r>
      <w:r w:rsidRPr="0073364D" w:rsidR="00A27585">
        <w:rPr>
          <w:rFonts w:ascii="Verdana" w:hAnsi="Verdana"/>
          <w:sz w:val="22"/>
          <w:szCs w:val="22"/>
        </w:rPr>
        <w:t xml:space="preserve"> </w:t>
      </w:r>
      <w:r w:rsidRPr="0073364D" w:rsidR="00A27585">
        <w:rPr>
          <w:rFonts w:ascii="Verdana" w:hAnsi="Verdana"/>
          <w:sz w:val="22"/>
          <w:szCs w:val="22"/>
          <w:u w:val="single"/>
        </w:rPr>
        <w:t>static</w:t>
      </w:r>
      <w:r w:rsidRPr="0073364D" w:rsidR="00A27585">
        <w:rPr>
          <w:rFonts w:ascii="Verdana" w:hAnsi="Verdana"/>
          <w:sz w:val="22"/>
          <w:szCs w:val="22"/>
        </w:rPr>
        <w:t xml:space="preserve"> advertising images in sequence, changing every 10 seconds, the change </w:t>
      </w:r>
      <w:r w:rsidR="0072561A">
        <w:rPr>
          <w:rFonts w:ascii="Verdana" w:hAnsi="Verdana"/>
          <w:sz w:val="22"/>
          <w:szCs w:val="22"/>
        </w:rPr>
        <w:t>occurring instantaneously</w:t>
      </w:r>
      <w:r w:rsidRPr="0073364D" w:rsidR="00A27585">
        <w:rPr>
          <w:rFonts w:ascii="Verdana" w:hAnsi="Verdana"/>
          <w:sz w:val="22"/>
          <w:szCs w:val="22"/>
        </w:rPr>
        <w:t>.</w:t>
      </w:r>
      <w:r w:rsidRPr="0073364D" w:rsidR="005D1B6B">
        <w:rPr>
          <w:rFonts w:ascii="Verdana" w:hAnsi="Verdana"/>
          <w:sz w:val="22"/>
          <w:szCs w:val="22"/>
        </w:rPr>
        <w:t xml:space="preserve"> </w:t>
      </w:r>
      <w:r w:rsidRPr="0073364D">
        <w:rPr>
          <w:rFonts w:ascii="Verdana" w:hAnsi="Verdana"/>
          <w:color w:val="000000" w:themeColor="text1"/>
          <w:sz w:val="22"/>
          <w:szCs w:val="22"/>
        </w:rPr>
        <w:t xml:space="preserve">During periods of darkness, </w:t>
      </w:r>
      <w:r w:rsidRPr="00CB27DE" w:rsidR="00BE277F">
        <w:rPr>
          <w:rFonts w:ascii="Verdana" w:hAnsi="Verdana"/>
          <w:color w:val="000000" w:themeColor="text1"/>
          <w:sz w:val="22"/>
          <w:szCs w:val="22"/>
        </w:rPr>
        <w:t>the displays</w:t>
      </w:r>
      <w:r w:rsidR="00BE277F">
        <w:rPr>
          <w:rFonts w:ascii="Verdana" w:hAnsi="Verdana"/>
          <w:color w:val="000000" w:themeColor="text1"/>
          <w:sz w:val="22"/>
          <w:szCs w:val="22"/>
        </w:rPr>
        <w:t xml:space="preserve"> operate </w:t>
      </w:r>
      <w:r w:rsidR="00BE277F">
        <w:rPr>
          <w:rFonts w:ascii="Verdana" w:hAnsi="Verdana" w:cstheme="minorHAnsi"/>
          <w:color w:val="000000"/>
          <w:sz w:val="22"/>
          <w:szCs w:val="22"/>
        </w:rPr>
        <w:t>at a set level whereby luminance does not exceed 30</w:t>
      </w:r>
      <w:r w:rsidRPr="0073364D" w:rsidR="00BE277F">
        <w:rPr>
          <w:rFonts w:ascii="Verdana" w:hAnsi="Verdana" w:cstheme="minorHAnsi"/>
          <w:color w:val="000000"/>
          <w:sz w:val="22"/>
          <w:szCs w:val="22"/>
        </w:rPr>
        <w:t xml:space="preserve">0 </w:t>
      </w:r>
      <w:proofErr w:type="spellStart"/>
      <w:r w:rsidRPr="0073364D" w:rsidR="00BE277F">
        <w:rPr>
          <w:rFonts w:ascii="Verdana" w:hAnsi="Verdana" w:cstheme="minorHAnsi"/>
          <w:color w:val="000000"/>
          <w:sz w:val="22"/>
          <w:szCs w:val="22"/>
        </w:rPr>
        <w:t>cdsq.m</w:t>
      </w:r>
      <w:proofErr w:type="spellEnd"/>
      <w:r w:rsidRPr="0073364D">
        <w:rPr>
          <w:rFonts w:ascii="Verdana" w:hAnsi="Verdana"/>
          <w:color w:val="000000" w:themeColor="text1"/>
          <w:sz w:val="22"/>
          <w:szCs w:val="22"/>
        </w:rPr>
        <w:t xml:space="preserve">, which is </w:t>
      </w:r>
      <w:r w:rsidR="00152B94">
        <w:rPr>
          <w:rFonts w:ascii="Verdana" w:hAnsi="Verdana"/>
          <w:color w:val="000000" w:themeColor="text1"/>
          <w:sz w:val="22"/>
          <w:szCs w:val="22"/>
        </w:rPr>
        <w:t xml:space="preserve">well </w:t>
      </w:r>
      <w:r w:rsidRPr="0073364D">
        <w:rPr>
          <w:rFonts w:ascii="Verdana" w:hAnsi="Verdana"/>
          <w:color w:val="000000" w:themeColor="text1"/>
          <w:sz w:val="22"/>
          <w:szCs w:val="22"/>
        </w:rPr>
        <w:t>within the levels recommended by the Institute of Lighting Professionals</w:t>
      </w:r>
      <w:r w:rsidRPr="0073364D">
        <w:rPr>
          <w:rStyle w:val="FootnoteReference"/>
          <w:rFonts w:ascii="Verdana" w:hAnsi="Verdana"/>
          <w:color w:val="000000" w:themeColor="text1"/>
          <w:sz w:val="22"/>
          <w:szCs w:val="22"/>
        </w:rPr>
        <w:footnoteReference w:id="2"/>
      </w:r>
      <w:r w:rsidRPr="0073364D">
        <w:rPr>
          <w:rFonts w:ascii="Verdana" w:hAnsi="Verdana"/>
          <w:color w:val="000000" w:themeColor="text1"/>
          <w:sz w:val="22"/>
          <w:szCs w:val="22"/>
        </w:rPr>
        <w:t xml:space="preserve">.  </w:t>
      </w:r>
      <w:r w:rsidRPr="0073364D" w:rsidR="00872EC7">
        <w:rPr>
          <w:rFonts w:ascii="Verdana" w:hAnsi="Verdana"/>
          <w:color w:val="000000"/>
          <w:sz w:val="22"/>
          <w:szCs w:val="22"/>
          <w:lang w:eastAsia="en-GB"/>
        </w:rPr>
        <w:t xml:space="preserve">Between </w:t>
      </w:r>
      <w:r w:rsidR="00531252">
        <w:rPr>
          <w:rFonts w:ascii="Verdana" w:hAnsi="Verdana"/>
          <w:color w:val="000000"/>
          <w:sz w:val="22"/>
          <w:szCs w:val="22"/>
          <w:lang w:eastAsia="en-GB"/>
        </w:rPr>
        <w:t>midnight</w:t>
      </w:r>
      <w:r w:rsidRPr="0073364D" w:rsidR="00872EC7">
        <w:rPr>
          <w:rFonts w:ascii="Verdana" w:hAnsi="Verdana"/>
          <w:color w:val="000000"/>
          <w:sz w:val="22"/>
          <w:szCs w:val="22"/>
          <w:lang w:eastAsia="en-GB"/>
        </w:rPr>
        <w:t xml:space="preserve"> and 5am, the displays </w:t>
      </w:r>
      <w:r w:rsidR="0072561A">
        <w:rPr>
          <w:rFonts w:ascii="Verdana" w:hAnsi="Verdana"/>
          <w:color w:val="000000"/>
          <w:sz w:val="22"/>
          <w:szCs w:val="22"/>
          <w:lang w:eastAsia="en-GB"/>
        </w:rPr>
        <w:t xml:space="preserve">are </w:t>
      </w:r>
      <w:r w:rsidRPr="0073364D" w:rsidR="00872EC7">
        <w:rPr>
          <w:rFonts w:ascii="Verdana" w:hAnsi="Verdana"/>
          <w:color w:val="000000"/>
          <w:sz w:val="22"/>
          <w:szCs w:val="22"/>
          <w:lang w:eastAsia="en-GB"/>
        </w:rPr>
        <w:t>turned off.</w:t>
      </w:r>
    </w:p>
    <w:p w:rsidRPr="0073364D" w:rsidR="00157078" w:rsidP="00941CA6" w:rsidRDefault="00157078" w14:paraId="3197FE4B" w14:textId="77777777">
      <w:pPr>
        <w:ind w:left="567" w:hanging="567"/>
        <w:jc w:val="both"/>
        <w:rPr>
          <w:rFonts w:ascii="Verdana" w:hAnsi="Verdana"/>
          <w:color w:val="000000"/>
          <w:sz w:val="22"/>
          <w:szCs w:val="22"/>
          <w:lang w:eastAsia="en-GB"/>
        </w:rPr>
      </w:pPr>
    </w:p>
    <w:p w:rsidR="0009409D" w:rsidP="00941CA6" w:rsidRDefault="002B3350" w14:paraId="4ACB18DF" w14:textId="4D2A4898">
      <w:pPr>
        <w:pStyle w:val="Default"/>
        <w:ind w:left="567" w:hanging="567"/>
        <w:jc w:val="both"/>
        <w:rPr>
          <w:rFonts w:ascii="Verdana" w:hAnsi="Verdana"/>
          <w:sz w:val="22"/>
          <w:szCs w:val="22"/>
          <w:lang w:eastAsia="en-GB"/>
        </w:rPr>
      </w:pPr>
      <w:r w:rsidRPr="0073364D">
        <w:rPr>
          <w:rFonts w:ascii="Verdana" w:hAnsi="Verdana"/>
          <w:sz w:val="22"/>
          <w:szCs w:val="22"/>
          <w:lang w:eastAsia="en-GB"/>
        </w:rPr>
        <w:t>3.</w:t>
      </w:r>
      <w:r w:rsidR="0073364D">
        <w:rPr>
          <w:rFonts w:ascii="Verdana" w:hAnsi="Verdana"/>
          <w:sz w:val="22"/>
          <w:szCs w:val="22"/>
          <w:lang w:eastAsia="en-GB"/>
        </w:rPr>
        <w:t>9</w:t>
      </w:r>
      <w:r w:rsidRPr="0073364D">
        <w:rPr>
          <w:rFonts w:ascii="Verdana" w:hAnsi="Verdana"/>
          <w:sz w:val="22"/>
          <w:szCs w:val="22"/>
          <w:lang w:eastAsia="en-GB"/>
        </w:rPr>
        <w:tab/>
      </w:r>
      <w:bookmarkStart w:name="_Hlk88234097" w:id="0"/>
      <w:r w:rsidRPr="00941CA6" w:rsidR="0009409D">
        <w:rPr>
          <w:rFonts w:ascii="Verdana" w:hAnsi="Verdana"/>
          <w:sz w:val="22"/>
          <w:szCs w:val="22"/>
          <w:lang w:eastAsia="en-GB"/>
        </w:rPr>
        <w:t xml:space="preserve">The </w:t>
      </w:r>
      <w:r w:rsidR="00B01180">
        <w:rPr>
          <w:rFonts w:ascii="Verdana" w:hAnsi="Verdana"/>
          <w:sz w:val="22"/>
          <w:szCs w:val="22"/>
          <w:lang w:eastAsia="en-GB"/>
        </w:rPr>
        <w:t xml:space="preserve">proposed </w:t>
      </w:r>
      <w:r w:rsidRPr="00941CA6" w:rsidR="0009409D">
        <w:rPr>
          <w:rFonts w:ascii="Verdana" w:hAnsi="Verdana"/>
          <w:sz w:val="22"/>
          <w:szCs w:val="22"/>
          <w:lang w:eastAsia="en-GB"/>
        </w:rPr>
        <w:t xml:space="preserve">displays </w:t>
      </w:r>
      <w:r w:rsidR="0009409D">
        <w:rPr>
          <w:rFonts w:ascii="Verdana" w:hAnsi="Verdana"/>
          <w:sz w:val="22"/>
          <w:szCs w:val="22"/>
          <w:lang w:eastAsia="en-GB"/>
        </w:rPr>
        <w:t xml:space="preserve">have </w:t>
      </w:r>
      <w:r w:rsidRPr="00941CA6" w:rsidR="0009409D">
        <w:rPr>
          <w:rFonts w:ascii="Verdana" w:hAnsi="Verdana"/>
          <w:sz w:val="22"/>
          <w:szCs w:val="22"/>
          <w:lang w:eastAsia="en-GB"/>
        </w:rPr>
        <w:t xml:space="preserve">an in-built sensor </w:t>
      </w:r>
      <w:r w:rsidR="0009409D">
        <w:rPr>
          <w:rFonts w:ascii="Verdana" w:hAnsi="Verdana"/>
          <w:sz w:val="22"/>
          <w:szCs w:val="22"/>
          <w:lang w:eastAsia="en-GB"/>
        </w:rPr>
        <w:t xml:space="preserve">system (comprising multiple sensors) </w:t>
      </w:r>
      <w:r w:rsidRPr="00941CA6" w:rsidR="0009409D">
        <w:rPr>
          <w:rFonts w:ascii="Verdana" w:hAnsi="Verdana"/>
          <w:sz w:val="22"/>
          <w:szCs w:val="22"/>
          <w:lang w:eastAsia="en-GB"/>
        </w:rPr>
        <w:t xml:space="preserve">which </w:t>
      </w:r>
      <w:r w:rsidR="0009409D">
        <w:rPr>
          <w:rFonts w:ascii="Verdana" w:hAnsi="Verdana"/>
          <w:sz w:val="22"/>
          <w:szCs w:val="22"/>
          <w:lang w:eastAsia="en-GB"/>
        </w:rPr>
        <w:t>reads</w:t>
      </w:r>
      <w:r w:rsidRPr="005767C8" w:rsidR="0009409D">
        <w:rPr>
          <w:rFonts w:ascii="Verdana" w:hAnsi="Verdana"/>
          <w:sz w:val="22"/>
          <w:szCs w:val="22"/>
        </w:rPr>
        <w:t xml:space="preserve"> </w:t>
      </w:r>
      <w:r w:rsidR="0009409D">
        <w:rPr>
          <w:rFonts w:ascii="Verdana" w:hAnsi="Verdana"/>
          <w:sz w:val="22"/>
          <w:szCs w:val="22"/>
        </w:rPr>
        <w:t xml:space="preserve">the </w:t>
      </w:r>
      <w:r w:rsidRPr="005767C8" w:rsidR="0009409D">
        <w:rPr>
          <w:rFonts w:ascii="Verdana" w:hAnsi="Verdana"/>
          <w:sz w:val="22"/>
          <w:szCs w:val="22"/>
        </w:rPr>
        <w:t>ambient light</w:t>
      </w:r>
      <w:r w:rsidR="0009409D">
        <w:rPr>
          <w:rFonts w:ascii="Verdana" w:hAnsi="Verdana"/>
          <w:sz w:val="22"/>
          <w:szCs w:val="22"/>
        </w:rPr>
        <w:t xml:space="preserve"> level and </w:t>
      </w:r>
      <w:r w:rsidRPr="00941CA6" w:rsidR="0009409D">
        <w:rPr>
          <w:rFonts w:ascii="Verdana" w:hAnsi="Verdana"/>
          <w:sz w:val="22"/>
          <w:szCs w:val="22"/>
          <w:lang w:eastAsia="en-GB"/>
        </w:rPr>
        <w:t>ad</w:t>
      </w:r>
      <w:r w:rsidR="0009409D">
        <w:rPr>
          <w:rFonts w:ascii="Verdana" w:hAnsi="Verdana"/>
          <w:sz w:val="22"/>
          <w:szCs w:val="22"/>
          <w:lang w:eastAsia="en-GB"/>
        </w:rPr>
        <w:t>justs the display luminance</w:t>
      </w:r>
      <w:r w:rsidRPr="00941CA6" w:rsidR="0009409D">
        <w:rPr>
          <w:rFonts w:ascii="Verdana" w:hAnsi="Verdana"/>
          <w:sz w:val="22"/>
          <w:szCs w:val="22"/>
          <w:lang w:eastAsia="en-GB"/>
        </w:rPr>
        <w:t xml:space="preserve"> to </w:t>
      </w:r>
      <w:r w:rsidR="0009409D">
        <w:rPr>
          <w:rFonts w:ascii="Verdana" w:hAnsi="Verdana"/>
          <w:sz w:val="22"/>
          <w:szCs w:val="22"/>
          <w:lang w:eastAsia="en-GB"/>
        </w:rPr>
        <w:t xml:space="preserve">that </w:t>
      </w:r>
      <w:r w:rsidRPr="00941CA6" w:rsidR="0009409D">
        <w:rPr>
          <w:rFonts w:ascii="Verdana" w:hAnsi="Verdana"/>
          <w:sz w:val="22"/>
          <w:szCs w:val="22"/>
          <w:lang w:eastAsia="en-GB"/>
        </w:rPr>
        <w:t>level.</w:t>
      </w:r>
      <w:r w:rsidR="0009409D">
        <w:rPr>
          <w:rFonts w:ascii="Verdana" w:hAnsi="Verdana"/>
          <w:sz w:val="22"/>
          <w:szCs w:val="22"/>
          <w:lang w:eastAsia="en-GB"/>
        </w:rPr>
        <w:t xml:space="preserve">  </w:t>
      </w:r>
      <w:bookmarkEnd w:id="0"/>
      <w:r w:rsidR="0009409D">
        <w:rPr>
          <w:rFonts w:ascii="Verdana" w:hAnsi="Verdana"/>
          <w:sz w:val="22"/>
          <w:szCs w:val="22"/>
          <w:lang w:eastAsia="en-GB"/>
        </w:rPr>
        <w:t xml:space="preserve">This means lower </w:t>
      </w:r>
      <w:r w:rsidR="009C56FD">
        <w:rPr>
          <w:rFonts w:ascii="Verdana" w:hAnsi="Verdana"/>
          <w:sz w:val="22"/>
          <w:szCs w:val="22"/>
          <w:lang w:eastAsia="en-GB"/>
        </w:rPr>
        <w:t xml:space="preserve">display </w:t>
      </w:r>
      <w:r w:rsidR="0009409D">
        <w:rPr>
          <w:rFonts w:ascii="Verdana" w:hAnsi="Verdana"/>
          <w:sz w:val="22"/>
          <w:szCs w:val="22"/>
          <w:lang w:eastAsia="en-GB"/>
        </w:rPr>
        <w:t>luminance when</w:t>
      </w:r>
      <w:r w:rsidRPr="0073364D" w:rsidR="0009409D">
        <w:rPr>
          <w:rFonts w:ascii="Verdana" w:hAnsi="Verdana"/>
          <w:sz w:val="22"/>
          <w:szCs w:val="22"/>
        </w:rPr>
        <w:t xml:space="preserve"> </w:t>
      </w:r>
      <w:r w:rsidR="0009409D">
        <w:rPr>
          <w:rFonts w:ascii="Verdana" w:hAnsi="Verdana"/>
          <w:sz w:val="22"/>
          <w:szCs w:val="22"/>
        </w:rPr>
        <w:t>a</w:t>
      </w:r>
      <w:r w:rsidRPr="0073364D" w:rsidR="0009409D">
        <w:rPr>
          <w:rFonts w:ascii="Verdana" w:hAnsi="Verdana"/>
          <w:sz w:val="22"/>
          <w:szCs w:val="22"/>
        </w:rPr>
        <w:t xml:space="preserve">mbient light </w:t>
      </w:r>
      <w:r w:rsidR="0009409D">
        <w:rPr>
          <w:rFonts w:ascii="Verdana" w:hAnsi="Verdana"/>
          <w:sz w:val="22"/>
          <w:szCs w:val="22"/>
        </w:rPr>
        <w:t xml:space="preserve">levels are lower and higher </w:t>
      </w:r>
      <w:r w:rsidR="00C8373F">
        <w:rPr>
          <w:rFonts w:ascii="Verdana" w:hAnsi="Verdana"/>
          <w:sz w:val="22"/>
          <w:szCs w:val="22"/>
        </w:rPr>
        <w:t xml:space="preserve">display </w:t>
      </w:r>
      <w:r w:rsidR="0009409D">
        <w:rPr>
          <w:rFonts w:ascii="Verdana" w:hAnsi="Verdana"/>
          <w:sz w:val="22"/>
          <w:szCs w:val="22"/>
        </w:rPr>
        <w:t>luminance when ambient light levels are higher</w:t>
      </w:r>
      <w:r w:rsidRPr="0073364D" w:rsidR="0009409D">
        <w:rPr>
          <w:rFonts w:ascii="Verdana" w:hAnsi="Verdana"/>
          <w:sz w:val="22"/>
          <w:szCs w:val="22"/>
        </w:rPr>
        <w:t>.</w:t>
      </w:r>
      <w:r w:rsidR="0009409D">
        <w:rPr>
          <w:rFonts w:ascii="Verdana" w:hAnsi="Verdana"/>
          <w:sz w:val="22"/>
          <w:szCs w:val="22"/>
        </w:rPr>
        <w:t xml:space="preserve">  They therefore operate </w:t>
      </w:r>
      <w:r w:rsidRPr="0073364D" w:rsidR="0009409D">
        <w:rPr>
          <w:rFonts w:ascii="Verdana" w:hAnsi="Verdana"/>
          <w:sz w:val="22"/>
          <w:szCs w:val="22"/>
        </w:rPr>
        <w:t xml:space="preserve">in </w:t>
      </w:r>
      <w:r w:rsidR="0009409D">
        <w:rPr>
          <w:rFonts w:ascii="Verdana" w:hAnsi="Verdana"/>
          <w:sz w:val="22"/>
          <w:szCs w:val="22"/>
        </w:rPr>
        <w:t xml:space="preserve">full </w:t>
      </w:r>
      <w:r w:rsidRPr="0073364D" w:rsidR="0009409D">
        <w:rPr>
          <w:rFonts w:ascii="Verdana" w:hAnsi="Verdana"/>
          <w:sz w:val="22"/>
          <w:szCs w:val="22"/>
        </w:rPr>
        <w:t xml:space="preserve">accordance with guidance </w:t>
      </w:r>
      <w:r w:rsidR="0009409D">
        <w:rPr>
          <w:rFonts w:ascii="Verdana" w:hAnsi="Verdana"/>
          <w:sz w:val="22"/>
          <w:szCs w:val="22"/>
        </w:rPr>
        <w:t>issued by the Institute of Lighting Professionals</w:t>
      </w:r>
      <w:r w:rsidR="00B00A73">
        <w:rPr>
          <w:rFonts w:ascii="Verdana" w:hAnsi="Verdana"/>
          <w:sz w:val="22"/>
          <w:szCs w:val="22"/>
        </w:rPr>
        <w:t>,</w:t>
      </w:r>
      <w:r w:rsidR="0009409D">
        <w:rPr>
          <w:rFonts w:ascii="Verdana" w:hAnsi="Verdana"/>
          <w:sz w:val="22"/>
          <w:szCs w:val="22"/>
        </w:rPr>
        <w:t xml:space="preserve"> </w:t>
      </w:r>
      <w:r w:rsidRPr="0073364D" w:rsidR="0009409D">
        <w:rPr>
          <w:rFonts w:ascii="Verdana" w:hAnsi="Verdana"/>
          <w:sz w:val="22"/>
          <w:szCs w:val="22"/>
        </w:rPr>
        <w:t>which states</w:t>
      </w:r>
      <w:r w:rsidR="00C317EF">
        <w:rPr>
          <w:rFonts w:ascii="Verdana" w:hAnsi="Verdana"/>
          <w:sz w:val="22"/>
          <w:szCs w:val="22"/>
        </w:rPr>
        <w:t>:</w:t>
      </w:r>
    </w:p>
    <w:p w:rsidRPr="0073364D" w:rsidR="00872EC7" w:rsidP="00941CA6" w:rsidRDefault="00872EC7" w14:paraId="2C424701" w14:textId="77777777">
      <w:pPr>
        <w:ind w:left="567" w:hanging="567"/>
        <w:jc w:val="both"/>
        <w:rPr>
          <w:rFonts w:ascii="Verdana" w:hAnsi="Verdana"/>
          <w:color w:val="000000"/>
          <w:sz w:val="22"/>
          <w:szCs w:val="22"/>
        </w:rPr>
      </w:pPr>
    </w:p>
    <w:p w:rsidRPr="0073364D" w:rsidR="00872EC7" w:rsidP="00FD426D" w:rsidRDefault="00872EC7" w14:paraId="321E76E7" w14:textId="3EFFC3DC">
      <w:pPr>
        <w:pStyle w:val="xxmsonormal"/>
        <w:ind w:left="851"/>
        <w:jc w:val="both"/>
        <w:rPr>
          <w:rFonts w:ascii="Verdana" w:hAnsi="Verdana" w:cstheme="minorHAnsi"/>
        </w:rPr>
      </w:pPr>
      <w:r w:rsidRPr="0073364D">
        <w:rPr>
          <w:rFonts w:ascii="Verdana" w:hAnsi="Verdana" w:cstheme="minorHAnsi"/>
          <w:i/>
          <w:iCs/>
        </w:rPr>
        <w:t>“</w:t>
      </w:r>
      <w:r w:rsidRPr="0073364D">
        <w:rPr>
          <w:rFonts w:ascii="Verdana" w:hAnsi="Verdana" w:cstheme="minorHAnsi"/>
          <w:i/>
          <w:iCs/>
          <w:color w:val="202121"/>
        </w:rPr>
        <w:t>Media screens that may be effective during the day are likely to exceed the night time luminance</w:t>
      </w:r>
      <w:r w:rsidRPr="0073364D" w:rsidR="00E93B53">
        <w:rPr>
          <w:rFonts w:ascii="Verdana" w:hAnsi="Verdana" w:cstheme="minorHAnsi"/>
          <w:i/>
          <w:iCs/>
          <w:color w:val="202121"/>
        </w:rPr>
        <w:t xml:space="preserve"> </w:t>
      </w:r>
      <w:r w:rsidRPr="0073364D">
        <w:rPr>
          <w:rFonts w:ascii="Verdana" w:hAnsi="Verdana" w:cstheme="minorHAnsi"/>
          <w:i/>
          <w:iCs/>
          <w:color w:val="202121"/>
        </w:rPr>
        <w:t>limits. They will require a system that controls luminance</w:t>
      </w:r>
      <w:r w:rsidRPr="0073364D" w:rsidR="000E06A2">
        <w:rPr>
          <w:rFonts w:ascii="Verdana" w:hAnsi="Verdana" w:cstheme="minorHAnsi"/>
          <w:i/>
          <w:iCs/>
          <w:color w:val="202121"/>
        </w:rPr>
        <w:t xml:space="preserve"> </w:t>
      </w:r>
      <w:r w:rsidRPr="0073364D">
        <w:rPr>
          <w:rFonts w:ascii="Verdana" w:hAnsi="Verdana" w:cstheme="minorHAnsi"/>
          <w:i/>
          <w:iCs/>
          <w:color w:val="202121"/>
        </w:rPr>
        <w:t>accordingly and takes into account</w:t>
      </w:r>
      <w:r w:rsidRPr="0073364D" w:rsidR="00E93B53">
        <w:rPr>
          <w:rFonts w:ascii="Verdana" w:hAnsi="Verdana" w:cstheme="minorHAnsi"/>
          <w:i/>
          <w:iCs/>
          <w:color w:val="202121"/>
        </w:rPr>
        <w:t xml:space="preserve"> </w:t>
      </w:r>
      <w:r w:rsidRPr="0073364D">
        <w:rPr>
          <w:rFonts w:ascii="Verdana" w:hAnsi="Verdana" w:cstheme="minorHAnsi"/>
          <w:i/>
          <w:iCs/>
          <w:color w:val="202121"/>
        </w:rPr>
        <w:t>any curfews, and the chang</w:t>
      </w:r>
      <w:r w:rsidRPr="0073364D">
        <w:rPr>
          <w:rFonts w:ascii="Verdana" w:hAnsi="Verdana" w:cstheme="minorHAnsi"/>
          <w:i/>
          <w:iCs/>
          <w:color w:val="3A3B3D"/>
        </w:rPr>
        <w:t xml:space="preserve">ing </w:t>
      </w:r>
      <w:r w:rsidRPr="0073364D">
        <w:rPr>
          <w:rFonts w:ascii="Verdana" w:hAnsi="Verdana" w:cstheme="minorHAnsi"/>
          <w:i/>
          <w:iCs/>
          <w:color w:val="202121"/>
        </w:rPr>
        <w:t>time of sunset</w:t>
      </w:r>
      <w:r w:rsidRPr="0073364D">
        <w:rPr>
          <w:rFonts w:ascii="Verdana" w:hAnsi="Verdana" w:cstheme="minorHAnsi"/>
          <w:i/>
          <w:iCs/>
          <w:color w:val="3A3B3D"/>
        </w:rPr>
        <w:t xml:space="preserve">, </w:t>
      </w:r>
      <w:r w:rsidRPr="0073364D">
        <w:rPr>
          <w:rFonts w:ascii="Verdana" w:hAnsi="Verdana" w:cstheme="minorHAnsi"/>
          <w:i/>
          <w:iCs/>
          <w:color w:val="202121"/>
        </w:rPr>
        <w:t>and dawn throughout the year</w:t>
      </w:r>
      <w:r w:rsidRPr="0073364D">
        <w:rPr>
          <w:rFonts w:ascii="Verdana" w:hAnsi="Verdana" w:cstheme="minorHAnsi"/>
          <w:i/>
          <w:iCs/>
          <w:color w:val="3A3B3D"/>
        </w:rPr>
        <w:t>.”</w:t>
      </w:r>
    </w:p>
    <w:p w:rsidRPr="0073364D" w:rsidR="000C14B1" w:rsidP="00780A70" w:rsidRDefault="000C14B1" w14:paraId="2BA4E9C9" w14:textId="77777777">
      <w:pPr>
        <w:tabs>
          <w:tab w:val="left" w:pos="0"/>
        </w:tabs>
        <w:ind w:left="567" w:hanging="567"/>
        <w:jc w:val="both"/>
        <w:rPr>
          <w:rFonts w:ascii="Verdana" w:hAnsi="Verdana"/>
          <w:color w:val="000000" w:themeColor="text1"/>
          <w:sz w:val="22"/>
          <w:szCs w:val="22"/>
        </w:rPr>
      </w:pPr>
    </w:p>
    <w:p w:rsidRPr="0073364D" w:rsidR="002E0823" w:rsidP="00780A70" w:rsidRDefault="00D63A7F" w14:paraId="52BB0DDA" w14:textId="491F839B">
      <w:pPr>
        <w:tabs>
          <w:tab w:val="left" w:pos="0"/>
        </w:tabs>
        <w:ind w:left="567" w:hanging="567"/>
        <w:jc w:val="both"/>
        <w:rPr>
          <w:rFonts w:ascii="Verdana" w:hAnsi="Verdana" w:cs="Courier New"/>
          <w:bCs/>
          <w:sz w:val="22"/>
          <w:szCs w:val="22"/>
        </w:rPr>
      </w:pPr>
      <w:r w:rsidRPr="0073364D">
        <w:rPr>
          <w:rFonts w:ascii="Verdana" w:hAnsi="Verdana"/>
          <w:color w:val="000000" w:themeColor="text1"/>
          <w:sz w:val="22"/>
          <w:szCs w:val="22"/>
        </w:rPr>
        <w:t>3.</w:t>
      </w:r>
      <w:r w:rsidR="0073364D">
        <w:rPr>
          <w:rFonts w:ascii="Verdana" w:hAnsi="Verdana"/>
          <w:color w:val="000000" w:themeColor="text1"/>
          <w:sz w:val="22"/>
          <w:szCs w:val="22"/>
        </w:rPr>
        <w:t>10</w:t>
      </w:r>
      <w:r w:rsidRPr="0073364D">
        <w:rPr>
          <w:rFonts w:ascii="Verdana" w:hAnsi="Verdana"/>
          <w:color w:val="000000" w:themeColor="text1"/>
          <w:sz w:val="22"/>
          <w:szCs w:val="22"/>
        </w:rPr>
        <w:tab/>
      </w:r>
      <w:r w:rsidRPr="0073364D" w:rsidR="002E0823">
        <w:rPr>
          <w:rFonts w:ascii="Verdana" w:hAnsi="Verdana"/>
          <w:color w:val="000000" w:themeColor="text1"/>
          <w:sz w:val="22"/>
          <w:szCs w:val="22"/>
        </w:rPr>
        <w:t>The replacement of internally illuminated 6-sheet advertis</w:t>
      </w:r>
      <w:r w:rsidRPr="0073364D" w:rsidR="001E3E71">
        <w:rPr>
          <w:rFonts w:ascii="Verdana" w:hAnsi="Verdana"/>
          <w:color w:val="000000" w:themeColor="text1"/>
          <w:sz w:val="22"/>
          <w:szCs w:val="22"/>
        </w:rPr>
        <w:t xml:space="preserve">ing </w:t>
      </w:r>
      <w:r w:rsidRPr="0073364D" w:rsidR="002E0823">
        <w:rPr>
          <w:rFonts w:ascii="Verdana" w:hAnsi="Verdana"/>
          <w:color w:val="000000" w:themeColor="text1"/>
          <w:sz w:val="22"/>
          <w:szCs w:val="22"/>
        </w:rPr>
        <w:t xml:space="preserve">displays with digital displays is increasingly accepted and therefore commonplace in </w:t>
      </w:r>
      <w:r w:rsidRPr="0073364D" w:rsidR="00F35136">
        <w:rPr>
          <w:rFonts w:ascii="Verdana" w:hAnsi="Verdana"/>
          <w:color w:val="000000" w:themeColor="text1"/>
          <w:sz w:val="22"/>
          <w:szCs w:val="22"/>
        </w:rPr>
        <w:t>towns and</w:t>
      </w:r>
      <w:r w:rsidRPr="0073364D" w:rsidR="002E0823">
        <w:rPr>
          <w:rFonts w:ascii="Verdana" w:hAnsi="Verdana"/>
          <w:color w:val="000000" w:themeColor="text1"/>
          <w:sz w:val="22"/>
          <w:szCs w:val="22"/>
        </w:rPr>
        <w:t xml:space="preserve"> cities across the UK.  To assist, we refer below to </w:t>
      </w:r>
      <w:r w:rsidR="003B6660">
        <w:rPr>
          <w:rFonts w:ascii="Verdana" w:hAnsi="Verdana"/>
          <w:color w:val="000000" w:themeColor="text1"/>
          <w:sz w:val="22"/>
          <w:szCs w:val="22"/>
        </w:rPr>
        <w:t xml:space="preserve">various </w:t>
      </w:r>
      <w:r w:rsidRPr="0073364D" w:rsidR="002E0823">
        <w:rPr>
          <w:rFonts w:ascii="Verdana" w:hAnsi="Verdana"/>
          <w:color w:val="000000" w:themeColor="text1"/>
          <w:sz w:val="22"/>
          <w:szCs w:val="22"/>
        </w:rPr>
        <w:t xml:space="preserve">recent cases involving this change </w:t>
      </w:r>
      <w:r w:rsidRPr="0073364D" w:rsidR="009D15E2">
        <w:rPr>
          <w:rFonts w:ascii="Verdana" w:hAnsi="Verdana"/>
          <w:color w:val="000000" w:themeColor="text1"/>
          <w:sz w:val="22"/>
          <w:szCs w:val="22"/>
        </w:rPr>
        <w:t>of</w:t>
      </w:r>
      <w:r w:rsidRPr="0073364D" w:rsidR="002E0823">
        <w:rPr>
          <w:rFonts w:ascii="Verdana" w:hAnsi="Verdana"/>
          <w:color w:val="000000" w:themeColor="text1"/>
          <w:sz w:val="22"/>
          <w:szCs w:val="22"/>
        </w:rPr>
        <w:t xml:space="preserve"> display type.  All cases need to be </w:t>
      </w:r>
      <w:r w:rsidRPr="0073364D">
        <w:rPr>
          <w:rFonts w:ascii="Verdana" w:hAnsi="Verdana"/>
          <w:color w:val="000000" w:themeColor="text1"/>
          <w:sz w:val="22"/>
          <w:szCs w:val="22"/>
        </w:rPr>
        <w:t xml:space="preserve">considered </w:t>
      </w:r>
      <w:r w:rsidRPr="0073364D" w:rsidR="002E0823">
        <w:rPr>
          <w:rFonts w:ascii="Verdana" w:hAnsi="Verdana"/>
          <w:color w:val="000000" w:themeColor="text1"/>
          <w:sz w:val="22"/>
          <w:szCs w:val="22"/>
        </w:rPr>
        <w:t xml:space="preserve">on their </w:t>
      </w:r>
      <w:r w:rsidRPr="0073364D" w:rsidR="009D15E2">
        <w:rPr>
          <w:rFonts w:ascii="Verdana" w:hAnsi="Verdana"/>
          <w:color w:val="000000" w:themeColor="text1"/>
          <w:sz w:val="22"/>
          <w:szCs w:val="22"/>
        </w:rPr>
        <w:t xml:space="preserve">individual </w:t>
      </w:r>
      <w:r w:rsidRPr="0073364D" w:rsidR="002E0823">
        <w:rPr>
          <w:rFonts w:ascii="Verdana" w:hAnsi="Verdana"/>
          <w:color w:val="000000" w:themeColor="text1"/>
          <w:sz w:val="22"/>
          <w:szCs w:val="22"/>
        </w:rPr>
        <w:t>merits</w:t>
      </w:r>
      <w:r w:rsidRPr="0073364D">
        <w:rPr>
          <w:rFonts w:ascii="Verdana" w:hAnsi="Verdana"/>
          <w:color w:val="000000" w:themeColor="text1"/>
          <w:sz w:val="22"/>
          <w:szCs w:val="22"/>
        </w:rPr>
        <w:t xml:space="preserve"> of course</w:t>
      </w:r>
      <w:r w:rsidRPr="0073364D" w:rsidR="002E0823">
        <w:rPr>
          <w:rFonts w:ascii="Verdana" w:hAnsi="Verdana"/>
          <w:color w:val="000000" w:themeColor="text1"/>
          <w:sz w:val="22"/>
          <w:szCs w:val="22"/>
        </w:rPr>
        <w:t xml:space="preserve">, but we include the below excerpts as evidence of how </w:t>
      </w:r>
      <w:r w:rsidRPr="0073364D" w:rsidR="002E0823">
        <w:rPr>
          <w:rFonts w:ascii="Verdana" w:hAnsi="Verdana" w:cs="Courier New"/>
          <w:bCs/>
          <w:sz w:val="22"/>
          <w:szCs w:val="22"/>
        </w:rPr>
        <w:t xml:space="preserve">digital displays are being considered by </w:t>
      </w:r>
      <w:r w:rsidRPr="0073364D" w:rsidR="00E7476F">
        <w:rPr>
          <w:rFonts w:ascii="Verdana" w:hAnsi="Verdana" w:cs="Courier New"/>
          <w:bCs/>
          <w:sz w:val="22"/>
          <w:szCs w:val="22"/>
        </w:rPr>
        <w:t xml:space="preserve">a sample of </w:t>
      </w:r>
      <w:r w:rsidRPr="0073364D" w:rsidR="002E0823">
        <w:rPr>
          <w:rFonts w:ascii="Verdana" w:hAnsi="Verdana" w:cs="Courier New"/>
          <w:bCs/>
          <w:sz w:val="22"/>
          <w:szCs w:val="22"/>
        </w:rPr>
        <w:t>Planning Inspectors.</w:t>
      </w:r>
    </w:p>
    <w:p w:rsidRPr="0073364D" w:rsidR="00DB5628" w:rsidP="00780A70" w:rsidRDefault="00DB5628" w14:paraId="42A6C054" w14:textId="77777777">
      <w:pPr>
        <w:tabs>
          <w:tab w:val="left" w:pos="0"/>
        </w:tabs>
        <w:ind w:left="567" w:hanging="567"/>
        <w:jc w:val="both"/>
        <w:rPr>
          <w:rFonts w:ascii="Verdana" w:hAnsi="Verdana" w:cs="Courier New"/>
          <w:bCs/>
          <w:sz w:val="22"/>
          <w:szCs w:val="22"/>
        </w:rPr>
      </w:pPr>
    </w:p>
    <w:p w:rsidRPr="00DB5628" w:rsidR="002E0823" w:rsidP="00DB5628" w:rsidRDefault="00D63A7F" w14:paraId="52BB0DDD" w14:textId="4BCD523D">
      <w:pPr>
        <w:tabs>
          <w:tab w:val="left" w:pos="0"/>
        </w:tabs>
        <w:ind w:left="567" w:hanging="567"/>
        <w:jc w:val="both"/>
        <w:rPr>
          <w:rFonts w:ascii="Verdana" w:hAnsi="Verdana" w:cs="Courier New"/>
          <w:bCs/>
          <w:sz w:val="20"/>
          <w:szCs w:val="20"/>
          <w:u w:val="single"/>
        </w:rPr>
      </w:pPr>
      <w:r w:rsidRPr="0073364D">
        <w:rPr>
          <w:rFonts w:ascii="Verdana" w:hAnsi="Verdana" w:cs="Courier New"/>
          <w:bCs/>
          <w:sz w:val="22"/>
          <w:szCs w:val="22"/>
        </w:rPr>
        <w:tab/>
      </w:r>
      <w:r w:rsidRPr="00DB5628" w:rsidR="002E0823">
        <w:rPr>
          <w:rFonts w:ascii="Verdana" w:hAnsi="Verdana" w:cs="Courier New"/>
          <w:bCs/>
          <w:sz w:val="20"/>
          <w:szCs w:val="20"/>
          <w:u w:val="single"/>
        </w:rPr>
        <w:t xml:space="preserve">London Borough of </w:t>
      </w:r>
      <w:proofErr w:type="spellStart"/>
      <w:r w:rsidRPr="00DB5628" w:rsidR="002E0823">
        <w:rPr>
          <w:rFonts w:ascii="Verdana" w:hAnsi="Verdana" w:cs="Courier New"/>
          <w:bCs/>
          <w:sz w:val="20"/>
          <w:szCs w:val="20"/>
          <w:u w:val="single"/>
        </w:rPr>
        <w:t>Hillingdon</w:t>
      </w:r>
      <w:proofErr w:type="spellEnd"/>
      <w:r w:rsidRPr="00DB5628" w:rsidR="002E0823">
        <w:rPr>
          <w:rFonts w:ascii="Verdana" w:hAnsi="Verdana" w:cs="Courier New"/>
          <w:bCs/>
          <w:sz w:val="20"/>
          <w:szCs w:val="20"/>
          <w:u w:val="single"/>
        </w:rPr>
        <w:t xml:space="preserve"> Appeal lead case. Ref: APP/R5510/Z/16/3157043</w:t>
      </w:r>
      <w:r w:rsidRPr="00DB5628" w:rsidR="00DB5628">
        <w:rPr>
          <w:rFonts w:ascii="Verdana" w:hAnsi="Verdana" w:cs="Courier New"/>
          <w:bCs/>
          <w:sz w:val="20"/>
          <w:szCs w:val="20"/>
          <w:u w:val="single"/>
        </w:rPr>
        <w:t xml:space="preserve"> </w:t>
      </w:r>
      <w:r w:rsidR="00DB5628">
        <w:rPr>
          <w:rFonts w:ascii="Verdana" w:hAnsi="Verdana" w:cs="Courier New"/>
          <w:bCs/>
          <w:sz w:val="20"/>
          <w:szCs w:val="20"/>
          <w:u w:val="single"/>
        </w:rPr>
        <w:t xml:space="preserve">and </w:t>
      </w:r>
      <w:r w:rsidRPr="00DB5628" w:rsidR="002E0823">
        <w:rPr>
          <w:rFonts w:ascii="Verdana" w:hAnsi="Verdana" w:cs="Courier New"/>
          <w:bCs/>
          <w:sz w:val="20"/>
          <w:szCs w:val="20"/>
          <w:u w:val="single"/>
        </w:rPr>
        <w:t xml:space="preserve">Islington Appeal case Ref: </w:t>
      </w:r>
      <w:r w:rsidRPr="00DB5628">
        <w:rPr>
          <w:rFonts w:ascii="Verdana" w:hAnsi="Verdana" w:cs="Courier New"/>
          <w:bCs/>
          <w:sz w:val="20"/>
          <w:szCs w:val="20"/>
          <w:u w:val="single"/>
        </w:rPr>
        <w:t>APP/V5570/Z/17/3169006</w:t>
      </w:r>
    </w:p>
    <w:p w:rsidRPr="0073364D" w:rsidR="00D63A7F" w:rsidP="00780A70" w:rsidRDefault="00D63A7F" w14:paraId="52BB0D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Courier New"/>
          <w:bCs/>
          <w:sz w:val="22"/>
          <w:szCs w:val="22"/>
        </w:rPr>
      </w:pPr>
    </w:p>
    <w:p w:rsidRPr="0073364D" w:rsidR="002E0823" w:rsidP="00780A70" w:rsidRDefault="00D63A7F" w14:paraId="52BB0DDF" w14:textId="4321F4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Courier New"/>
          <w:bCs/>
          <w:sz w:val="22"/>
          <w:szCs w:val="22"/>
        </w:rPr>
      </w:pPr>
      <w:r w:rsidRPr="0073364D">
        <w:rPr>
          <w:rFonts w:ascii="Verdana" w:hAnsi="Verdana" w:cs="Courier New"/>
          <w:bCs/>
          <w:sz w:val="22"/>
          <w:szCs w:val="22"/>
        </w:rPr>
        <w:t>3.</w:t>
      </w:r>
      <w:r w:rsidR="0073364D">
        <w:rPr>
          <w:rFonts w:ascii="Verdana" w:hAnsi="Verdana" w:cs="Courier New"/>
          <w:bCs/>
          <w:sz w:val="22"/>
          <w:szCs w:val="22"/>
        </w:rPr>
        <w:t>11</w:t>
      </w:r>
      <w:r w:rsidRPr="0073364D">
        <w:rPr>
          <w:rFonts w:ascii="Verdana" w:hAnsi="Verdana" w:cs="Courier New"/>
          <w:bCs/>
          <w:sz w:val="22"/>
          <w:szCs w:val="22"/>
        </w:rPr>
        <w:tab/>
      </w:r>
      <w:r w:rsidRPr="0073364D" w:rsidR="002E0823">
        <w:rPr>
          <w:rFonts w:ascii="Verdana" w:hAnsi="Verdana" w:cs="Courier New"/>
          <w:bCs/>
          <w:sz w:val="22"/>
          <w:szCs w:val="22"/>
        </w:rPr>
        <w:t>These cases involved the same proposed LCD advertisement displays albeit housed within a telephone kiosk.  Specifically</w:t>
      </w:r>
      <w:r w:rsidR="006E525F">
        <w:rPr>
          <w:rFonts w:ascii="Verdana" w:hAnsi="Verdana" w:cs="Courier New"/>
          <w:bCs/>
          <w:sz w:val="22"/>
          <w:szCs w:val="22"/>
        </w:rPr>
        <w:t>,</w:t>
      </w:r>
      <w:r w:rsidRPr="0073364D" w:rsidR="002E0823">
        <w:rPr>
          <w:rFonts w:ascii="Verdana" w:hAnsi="Verdana" w:cs="Courier New"/>
          <w:bCs/>
          <w:sz w:val="22"/>
          <w:szCs w:val="22"/>
        </w:rPr>
        <w:t xml:space="preserve"> we refer to the Inspectors’ findings on the digital nature of the proposed advertis</w:t>
      </w:r>
      <w:r w:rsidRPr="0073364D" w:rsidR="00983F7E">
        <w:rPr>
          <w:rFonts w:ascii="Verdana" w:hAnsi="Verdana" w:cs="Courier New"/>
          <w:bCs/>
          <w:sz w:val="22"/>
          <w:szCs w:val="22"/>
        </w:rPr>
        <w:t>ing</w:t>
      </w:r>
      <w:r w:rsidRPr="0073364D" w:rsidR="002E0823">
        <w:rPr>
          <w:rFonts w:ascii="Verdana" w:hAnsi="Verdana" w:cs="Courier New"/>
          <w:bCs/>
          <w:sz w:val="22"/>
          <w:szCs w:val="22"/>
        </w:rPr>
        <w:t xml:space="preserve"> displays, the same technology proposed in this case.</w:t>
      </w:r>
    </w:p>
    <w:p w:rsidRPr="0073364D" w:rsidR="002E0823" w:rsidP="00780A70" w:rsidRDefault="002E0823" w14:paraId="52BB0D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Courier New"/>
          <w:bCs/>
          <w:sz w:val="22"/>
          <w:szCs w:val="22"/>
        </w:rPr>
      </w:pPr>
    </w:p>
    <w:p w:rsidRPr="0073364D" w:rsidR="002E0823" w:rsidP="00780A70" w:rsidRDefault="00D63A7F" w14:paraId="52BB0DE1" w14:textId="3DE7A0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Courier New"/>
          <w:bCs/>
          <w:i/>
          <w:sz w:val="22"/>
          <w:szCs w:val="22"/>
        </w:rPr>
      </w:pPr>
      <w:r w:rsidRPr="0073364D">
        <w:rPr>
          <w:rFonts w:ascii="Verdana" w:hAnsi="Verdana" w:cs="Courier New"/>
          <w:bCs/>
          <w:sz w:val="22"/>
          <w:szCs w:val="22"/>
        </w:rPr>
        <w:t>3.</w:t>
      </w:r>
      <w:r w:rsidR="0073364D">
        <w:rPr>
          <w:rFonts w:ascii="Verdana" w:hAnsi="Verdana" w:cs="Courier New"/>
          <w:bCs/>
          <w:sz w:val="22"/>
          <w:szCs w:val="22"/>
        </w:rPr>
        <w:t>12</w:t>
      </w:r>
      <w:r w:rsidRPr="0073364D">
        <w:rPr>
          <w:rFonts w:ascii="Verdana" w:hAnsi="Verdana" w:cs="Courier New"/>
          <w:bCs/>
          <w:sz w:val="22"/>
          <w:szCs w:val="22"/>
        </w:rPr>
        <w:tab/>
      </w:r>
      <w:r w:rsidRPr="0073364D" w:rsidR="002E0823">
        <w:rPr>
          <w:rFonts w:ascii="Verdana" w:hAnsi="Verdana" w:cs="Courier New"/>
          <w:bCs/>
          <w:sz w:val="22"/>
          <w:szCs w:val="22"/>
        </w:rPr>
        <w:t xml:space="preserve">In the </w:t>
      </w:r>
      <w:proofErr w:type="spellStart"/>
      <w:r w:rsidRPr="0073364D" w:rsidR="002E0823">
        <w:rPr>
          <w:rFonts w:ascii="Verdana" w:hAnsi="Verdana" w:cs="Courier New"/>
          <w:bCs/>
          <w:sz w:val="22"/>
          <w:szCs w:val="22"/>
        </w:rPr>
        <w:t>Hillingdon</w:t>
      </w:r>
      <w:proofErr w:type="spellEnd"/>
      <w:r w:rsidRPr="0073364D" w:rsidR="002E0823">
        <w:rPr>
          <w:rFonts w:ascii="Verdana" w:hAnsi="Verdana" w:cs="Courier New"/>
          <w:bCs/>
          <w:sz w:val="22"/>
          <w:szCs w:val="22"/>
        </w:rPr>
        <w:t xml:space="preserve"> cases, para. 1</w:t>
      </w:r>
      <w:r w:rsidRPr="0073364D">
        <w:rPr>
          <w:rFonts w:ascii="Verdana" w:hAnsi="Verdana" w:cs="Courier New"/>
          <w:bCs/>
          <w:sz w:val="22"/>
          <w:szCs w:val="22"/>
        </w:rPr>
        <w:t xml:space="preserve">8 of the decision letter states, </w:t>
      </w:r>
      <w:r w:rsidRPr="0073364D" w:rsidR="002E0823">
        <w:rPr>
          <w:rFonts w:ascii="Verdana" w:hAnsi="Verdana" w:cs="Courier New"/>
          <w:bCs/>
          <w:i/>
          <w:sz w:val="22"/>
          <w:szCs w:val="22"/>
        </w:rPr>
        <w:t>“Whilst I can appreciate the Council’s concerns, there is no technical reason why digital displays should be any brighter or more intrusive than a conventional advertisement display unit with internal fluorescent lighting”.</w:t>
      </w:r>
    </w:p>
    <w:p w:rsidRPr="0073364D" w:rsidR="002E0823" w:rsidP="00780A70" w:rsidRDefault="002E0823" w14:paraId="52BB0D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Courier New"/>
          <w:bCs/>
          <w:sz w:val="22"/>
          <w:szCs w:val="22"/>
        </w:rPr>
      </w:pPr>
    </w:p>
    <w:p w:rsidRPr="0073364D" w:rsidR="002E0823" w:rsidP="00780A70" w:rsidRDefault="00D63A7F" w14:paraId="52BB0DE3" w14:textId="392BD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Courier New"/>
          <w:bCs/>
          <w:i/>
          <w:sz w:val="22"/>
          <w:szCs w:val="22"/>
        </w:rPr>
      </w:pPr>
      <w:r w:rsidRPr="0073364D">
        <w:rPr>
          <w:rFonts w:ascii="Verdana" w:hAnsi="Verdana" w:cs="Courier New"/>
          <w:bCs/>
          <w:sz w:val="22"/>
          <w:szCs w:val="22"/>
        </w:rPr>
        <w:t>3.</w:t>
      </w:r>
      <w:r w:rsidR="0073364D">
        <w:rPr>
          <w:rFonts w:ascii="Verdana" w:hAnsi="Verdana" w:cs="Courier New"/>
          <w:bCs/>
          <w:sz w:val="22"/>
          <w:szCs w:val="22"/>
        </w:rPr>
        <w:t>13</w:t>
      </w:r>
      <w:r w:rsidRPr="0073364D">
        <w:rPr>
          <w:rFonts w:ascii="Verdana" w:hAnsi="Verdana" w:cs="Courier New"/>
          <w:bCs/>
          <w:sz w:val="22"/>
          <w:szCs w:val="22"/>
        </w:rPr>
        <w:tab/>
      </w:r>
      <w:r w:rsidRPr="0073364D" w:rsidR="002E0823">
        <w:rPr>
          <w:rFonts w:ascii="Verdana" w:hAnsi="Verdana" w:cs="Courier New"/>
          <w:bCs/>
          <w:sz w:val="22"/>
          <w:szCs w:val="22"/>
        </w:rPr>
        <w:t>In the Islington case, para. 8 of the decision letter states</w:t>
      </w:r>
      <w:r w:rsidRPr="0073364D">
        <w:rPr>
          <w:rFonts w:ascii="Verdana" w:hAnsi="Verdana" w:cs="Courier New"/>
          <w:bCs/>
          <w:sz w:val="22"/>
          <w:szCs w:val="22"/>
        </w:rPr>
        <w:t xml:space="preserve">, </w:t>
      </w:r>
      <w:r w:rsidRPr="0073364D" w:rsidR="002E0823">
        <w:rPr>
          <w:rFonts w:ascii="Verdana" w:hAnsi="Verdana" w:cs="Courier New"/>
          <w:bCs/>
          <w:i/>
          <w:sz w:val="22"/>
          <w:szCs w:val="22"/>
        </w:rPr>
        <w:t>“I accept that this form of display technology is increasingly common in major urban areas, and I see no reason why it should be any brighter or more intrusive than some other forms of display such as those with fluorescent lighting.”</w:t>
      </w:r>
    </w:p>
    <w:p w:rsidRPr="0073364D" w:rsidR="002E0823" w:rsidP="00780A70" w:rsidRDefault="002E0823" w14:paraId="52BB0DE4" w14:textId="77777777">
      <w:pPr>
        <w:tabs>
          <w:tab w:val="left" w:pos="0"/>
        </w:tabs>
        <w:ind w:left="567" w:hanging="567"/>
        <w:jc w:val="both"/>
        <w:rPr>
          <w:rFonts w:ascii="Verdana" w:hAnsi="Verdana" w:cs="Tahoma"/>
          <w:bCs/>
          <w:sz w:val="22"/>
          <w:szCs w:val="22"/>
        </w:rPr>
      </w:pPr>
    </w:p>
    <w:p w:rsidRPr="0073364D" w:rsidR="002E0823" w:rsidP="00780A70" w:rsidRDefault="00D63A7F" w14:paraId="52BB0DE5" w14:textId="458D8DD9">
      <w:pPr>
        <w:tabs>
          <w:tab w:val="left" w:pos="0"/>
        </w:tabs>
        <w:ind w:left="567" w:hanging="567"/>
        <w:jc w:val="both"/>
        <w:rPr>
          <w:rFonts w:ascii="Verdana" w:hAnsi="Verdana" w:cs="Tahoma"/>
          <w:bCs/>
          <w:sz w:val="22"/>
          <w:szCs w:val="22"/>
          <w:u w:val="single"/>
        </w:rPr>
      </w:pPr>
      <w:r w:rsidRPr="0073364D">
        <w:rPr>
          <w:rFonts w:ascii="Verdana" w:hAnsi="Verdana" w:cs="Tahoma"/>
          <w:bCs/>
          <w:sz w:val="22"/>
          <w:szCs w:val="22"/>
        </w:rPr>
        <w:tab/>
      </w:r>
      <w:r w:rsidRPr="0073364D" w:rsidR="002E0823">
        <w:rPr>
          <w:rFonts w:ascii="Verdana" w:hAnsi="Verdana" w:cs="Tahoma"/>
          <w:bCs/>
          <w:sz w:val="22"/>
          <w:szCs w:val="22"/>
          <w:u w:val="single"/>
        </w:rPr>
        <w:t>Birmingham City Council Appeal Ref: APP/P4605/Z/18/3204927</w:t>
      </w:r>
    </w:p>
    <w:p w:rsidRPr="0073364D" w:rsidR="00871DF1" w:rsidP="00780A70" w:rsidRDefault="00871DF1" w14:paraId="52BB0DE6" w14:textId="77777777">
      <w:pPr>
        <w:tabs>
          <w:tab w:val="left" w:pos="0"/>
        </w:tabs>
        <w:ind w:left="567" w:hanging="567"/>
        <w:jc w:val="both"/>
        <w:rPr>
          <w:rFonts w:ascii="Verdana" w:hAnsi="Verdana" w:cs="Tahoma"/>
          <w:bCs/>
          <w:sz w:val="22"/>
          <w:szCs w:val="22"/>
        </w:rPr>
      </w:pPr>
    </w:p>
    <w:p w:rsidRPr="0073364D" w:rsidR="002E0823" w:rsidP="00780A70" w:rsidRDefault="00D63A7F" w14:paraId="52BB0DE7" w14:textId="26D8A3FE">
      <w:pPr>
        <w:tabs>
          <w:tab w:val="left" w:pos="0"/>
        </w:tabs>
        <w:ind w:left="567" w:hanging="567"/>
        <w:jc w:val="both"/>
        <w:rPr>
          <w:rFonts w:ascii="Verdana" w:hAnsi="Verdana" w:cs="Tahoma"/>
          <w:bCs/>
          <w:i/>
          <w:sz w:val="22"/>
          <w:szCs w:val="22"/>
        </w:rPr>
      </w:pPr>
      <w:r w:rsidRPr="0073364D">
        <w:rPr>
          <w:rFonts w:ascii="Verdana" w:hAnsi="Verdana" w:cs="Tahoma"/>
          <w:bCs/>
          <w:sz w:val="22"/>
          <w:szCs w:val="22"/>
        </w:rPr>
        <w:t>3.</w:t>
      </w:r>
      <w:r w:rsidR="0073364D">
        <w:rPr>
          <w:rFonts w:ascii="Verdana" w:hAnsi="Verdana" w:cs="Tahoma"/>
          <w:bCs/>
          <w:sz w:val="22"/>
          <w:szCs w:val="22"/>
        </w:rPr>
        <w:t>14</w:t>
      </w:r>
      <w:r w:rsidRPr="0073364D">
        <w:rPr>
          <w:rFonts w:ascii="Verdana" w:hAnsi="Verdana" w:cs="Tahoma"/>
          <w:bCs/>
          <w:sz w:val="22"/>
          <w:szCs w:val="22"/>
        </w:rPr>
        <w:tab/>
      </w:r>
      <w:r w:rsidRPr="0073364D" w:rsidR="002E0823">
        <w:rPr>
          <w:rFonts w:ascii="Verdana" w:hAnsi="Verdana" w:cs="Tahoma"/>
          <w:bCs/>
          <w:sz w:val="22"/>
          <w:szCs w:val="22"/>
        </w:rPr>
        <w:t>In this case, para. 7 of the decision letter states</w:t>
      </w:r>
      <w:r w:rsidRPr="0073364D">
        <w:rPr>
          <w:rFonts w:ascii="Verdana" w:hAnsi="Verdana" w:cs="Tahoma"/>
          <w:bCs/>
          <w:sz w:val="22"/>
          <w:szCs w:val="22"/>
        </w:rPr>
        <w:t xml:space="preserve">, </w:t>
      </w:r>
      <w:r w:rsidRPr="0073364D" w:rsidR="002E0823">
        <w:rPr>
          <w:rFonts w:ascii="Verdana" w:hAnsi="Verdana"/>
          <w:i/>
          <w:sz w:val="22"/>
          <w:szCs w:val="22"/>
        </w:rPr>
        <w:t>“The proposed advertising display would be digital and internally illuminated but this would not necessarily make it brighter or more prominent in the street scene than the existing display which is also internally illuminated.”</w:t>
      </w:r>
    </w:p>
    <w:p w:rsidRPr="0073364D" w:rsidR="002E0823" w:rsidP="00780A70" w:rsidRDefault="00D63A7F" w14:paraId="52BB0DE9" w14:textId="091CD8C7">
      <w:pPr>
        <w:tabs>
          <w:tab w:val="left" w:pos="0"/>
        </w:tabs>
        <w:ind w:left="567" w:hanging="567"/>
        <w:jc w:val="both"/>
        <w:rPr>
          <w:rFonts w:ascii="Verdana" w:hAnsi="Verdana" w:cs="Tahoma"/>
          <w:bCs/>
          <w:sz w:val="22"/>
          <w:szCs w:val="22"/>
          <w:u w:val="single"/>
        </w:rPr>
      </w:pPr>
      <w:r w:rsidRPr="0073364D">
        <w:rPr>
          <w:rFonts w:ascii="Verdana" w:hAnsi="Verdana" w:cs="Tahoma"/>
          <w:bCs/>
          <w:sz w:val="22"/>
          <w:szCs w:val="22"/>
        </w:rPr>
        <w:tab/>
      </w:r>
      <w:r w:rsidRPr="0073364D" w:rsidR="002E0823">
        <w:rPr>
          <w:rFonts w:ascii="Verdana" w:hAnsi="Verdana" w:cs="Tahoma"/>
          <w:bCs/>
          <w:sz w:val="22"/>
          <w:szCs w:val="22"/>
          <w:u w:val="single"/>
        </w:rPr>
        <w:t>East Hertfordshire District Council Appeal Ref: APP/J1915/Z/18/3208972</w:t>
      </w:r>
    </w:p>
    <w:p w:rsidRPr="0073364D" w:rsidR="00D63A7F" w:rsidP="00780A70" w:rsidRDefault="00D63A7F" w14:paraId="52BB0DEA" w14:textId="77777777">
      <w:pPr>
        <w:tabs>
          <w:tab w:val="left" w:pos="0"/>
        </w:tabs>
        <w:ind w:left="567" w:hanging="567"/>
        <w:jc w:val="both"/>
        <w:rPr>
          <w:rFonts w:ascii="Verdana" w:hAnsi="Verdana" w:cs="Tahoma"/>
          <w:bCs/>
          <w:sz w:val="22"/>
          <w:szCs w:val="22"/>
        </w:rPr>
      </w:pPr>
    </w:p>
    <w:p w:rsidRPr="0073364D" w:rsidR="002E0823" w:rsidP="00780A70" w:rsidRDefault="00D63A7F" w14:paraId="52BB0DEB" w14:textId="17F59D35">
      <w:pPr>
        <w:tabs>
          <w:tab w:val="left" w:pos="0"/>
        </w:tabs>
        <w:ind w:left="567" w:hanging="567"/>
        <w:jc w:val="both"/>
        <w:rPr>
          <w:rFonts w:ascii="Verdana" w:hAnsi="Verdana" w:cs="Tahoma"/>
          <w:bCs/>
          <w:sz w:val="22"/>
          <w:szCs w:val="22"/>
        </w:rPr>
      </w:pPr>
      <w:r w:rsidRPr="0073364D">
        <w:rPr>
          <w:rFonts w:ascii="Verdana" w:hAnsi="Verdana" w:cs="Tahoma"/>
          <w:bCs/>
          <w:sz w:val="22"/>
          <w:szCs w:val="22"/>
        </w:rPr>
        <w:t>3.</w:t>
      </w:r>
      <w:r w:rsidR="0073364D">
        <w:rPr>
          <w:rFonts w:ascii="Verdana" w:hAnsi="Verdana" w:cs="Tahoma"/>
          <w:bCs/>
          <w:sz w:val="22"/>
          <w:szCs w:val="22"/>
        </w:rPr>
        <w:t>15</w:t>
      </w:r>
      <w:r w:rsidRPr="0073364D">
        <w:rPr>
          <w:rFonts w:ascii="Verdana" w:hAnsi="Verdana" w:cs="Tahoma"/>
          <w:bCs/>
          <w:sz w:val="22"/>
          <w:szCs w:val="22"/>
        </w:rPr>
        <w:tab/>
      </w:r>
      <w:r w:rsidRPr="0073364D" w:rsidR="002E0823">
        <w:rPr>
          <w:rFonts w:ascii="Verdana" w:hAnsi="Verdana" w:cs="Tahoma"/>
          <w:bCs/>
          <w:sz w:val="22"/>
          <w:szCs w:val="22"/>
        </w:rPr>
        <w:t xml:space="preserve">In this case, </w:t>
      </w:r>
      <w:r w:rsidRPr="0073364D">
        <w:rPr>
          <w:rFonts w:ascii="Verdana" w:hAnsi="Verdana" w:cs="Tahoma"/>
          <w:bCs/>
          <w:sz w:val="22"/>
          <w:szCs w:val="22"/>
        </w:rPr>
        <w:t xml:space="preserve">para. </w:t>
      </w:r>
      <w:r w:rsidRPr="0073364D" w:rsidR="002E0823">
        <w:rPr>
          <w:rFonts w:ascii="Verdana" w:hAnsi="Verdana" w:cs="Tahoma"/>
          <w:bCs/>
          <w:sz w:val="22"/>
          <w:szCs w:val="22"/>
        </w:rPr>
        <w:t>8 of the decision letter states</w:t>
      </w:r>
      <w:r w:rsidRPr="0073364D">
        <w:rPr>
          <w:rFonts w:ascii="Verdana" w:hAnsi="Verdana" w:cs="Tahoma"/>
          <w:bCs/>
          <w:sz w:val="22"/>
          <w:szCs w:val="22"/>
        </w:rPr>
        <w:t xml:space="preserve">, </w:t>
      </w:r>
      <w:r w:rsidRPr="0073364D" w:rsidR="002E0823">
        <w:rPr>
          <w:rFonts w:ascii="Verdana" w:hAnsi="Verdana" w:cs="Tahoma"/>
          <w:bCs/>
          <w:i/>
          <w:sz w:val="22"/>
          <w:szCs w:val="22"/>
        </w:rPr>
        <w:t>“</w:t>
      </w:r>
      <w:r w:rsidRPr="0073364D" w:rsidR="002E0823">
        <w:rPr>
          <w:rFonts w:ascii="Verdana" w:hAnsi="Verdana"/>
          <w:i/>
          <w:sz w:val="22"/>
          <w:szCs w:val="22"/>
        </w:rPr>
        <w:t>Although they would be digital and internally illuminated, this would not necessarily make them brighter or more prominent in the street scene than the existing display which is also internally illuminated.”</w:t>
      </w:r>
    </w:p>
    <w:p w:rsidRPr="0073364D" w:rsidR="002E0823" w:rsidP="00780A70" w:rsidRDefault="002E0823" w14:paraId="52BB0DEC" w14:textId="77777777">
      <w:pPr>
        <w:ind w:left="567" w:hanging="567"/>
        <w:jc w:val="both"/>
        <w:rPr>
          <w:rFonts w:ascii="Verdana" w:hAnsi="Verdana" w:cs="Tahoma"/>
          <w:bCs/>
          <w:sz w:val="22"/>
          <w:szCs w:val="22"/>
        </w:rPr>
      </w:pPr>
    </w:p>
    <w:p w:rsidRPr="0073364D" w:rsidR="002E0823" w:rsidP="001B1580" w:rsidRDefault="00D63A7F" w14:paraId="52BB0DED" w14:textId="12F4DD03">
      <w:pPr>
        <w:ind w:left="567" w:hanging="567"/>
        <w:jc w:val="both"/>
        <w:rPr>
          <w:rFonts w:ascii="Verdana" w:hAnsi="Verdana" w:cs="Verdana"/>
          <w:color w:val="000000"/>
          <w:sz w:val="22"/>
          <w:szCs w:val="22"/>
        </w:rPr>
      </w:pPr>
      <w:r w:rsidRPr="0073364D">
        <w:rPr>
          <w:rFonts w:ascii="Verdana" w:hAnsi="Verdana" w:cs="Tahoma"/>
          <w:bCs/>
          <w:sz w:val="22"/>
          <w:szCs w:val="22"/>
        </w:rPr>
        <w:t>3.</w:t>
      </w:r>
      <w:r w:rsidRPr="0073364D" w:rsidR="009E7B13">
        <w:rPr>
          <w:rFonts w:ascii="Verdana" w:hAnsi="Verdana" w:cs="Tahoma"/>
          <w:bCs/>
          <w:sz w:val="22"/>
          <w:szCs w:val="22"/>
        </w:rPr>
        <w:t>1</w:t>
      </w:r>
      <w:r w:rsidR="0073364D">
        <w:rPr>
          <w:rFonts w:ascii="Verdana" w:hAnsi="Verdana" w:cs="Tahoma"/>
          <w:bCs/>
          <w:sz w:val="22"/>
          <w:szCs w:val="22"/>
        </w:rPr>
        <w:t>6</w:t>
      </w:r>
      <w:r w:rsidRPr="0073364D">
        <w:rPr>
          <w:rFonts w:ascii="Verdana" w:hAnsi="Verdana" w:cs="Tahoma"/>
          <w:bCs/>
          <w:sz w:val="22"/>
          <w:szCs w:val="22"/>
        </w:rPr>
        <w:tab/>
      </w:r>
      <w:r w:rsidRPr="0073364D" w:rsidR="002E0823">
        <w:rPr>
          <w:rFonts w:ascii="Verdana" w:hAnsi="Verdana" w:cs="Tahoma"/>
          <w:bCs/>
          <w:sz w:val="22"/>
          <w:szCs w:val="22"/>
        </w:rPr>
        <w:t xml:space="preserve">In summary, the </w:t>
      </w:r>
      <w:r w:rsidRPr="0073364D" w:rsidR="002E0823">
        <w:rPr>
          <w:rFonts w:ascii="Verdana" w:hAnsi="Verdana" w:cs="Courier New"/>
          <w:bCs/>
          <w:sz w:val="22"/>
          <w:szCs w:val="22"/>
        </w:rPr>
        <w:t>proposed change from internal illumination to digital illumination is increasingly accepted and therefore common in urban areas across the UK, reflecting the view that there is no technical reason why digital illumination should be any brighter or more intrusive than conventional internal illumination.</w:t>
      </w:r>
    </w:p>
    <w:p w:rsidRPr="0073364D" w:rsidR="00AA5E82" w:rsidP="001B1580" w:rsidRDefault="00AA5E82" w14:paraId="52BB0DEE" w14:textId="04E8CAE7">
      <w:pPr>
        <w:ind w:left="567" w:hanging="567"/>
        <w:jc w:val="both"/>
        <w:rPr>
          <w:rFonts w:ascii="Verdana" w:hAnsi="Verdana"/>
          <w:color w:val="000000" w:themeColor="text1"/>
          <w:sz w:val="22"/>
          <w:szCs w:val="22"/>
        </w:rPr>
      </w:pPr>
    </w:p>
    <w:p w:rsidRPr="0073364D" w:rsidR="002E13A0" w:rsidP="001B1580" w:rsidRDefault="002E13A0" w14:paraId="71BCC539" w14:textId="5B9D56A0">
      <w:pPr>
        <w:ind w:left="567" w:hanging="567"/>
        <w:jc w:val="both"/>
        <w:rPr>
          <w:rFonts w:ascii="Verdana" w:hAnsi="Verdana"/>
          <w:color w:val="000000" w:themeColor="text1"/>
          <w:sz w:val="22"/>
          <w:szCs w:val="22"/>
        </w:rPr>
      </w:pPr>
      <w:r w:rsidRPr="0073364D">
        <w:rPr>
          <w:rFonts w:ascii="Verdana" w:hAnsi="Verdana"/>
          <w:color w:val="000000" w:themeColor="text1"/>
          <w:sz w:val="22"/>
          <w:szCs w:val="22"/>
        </w:rPr>
        <w:t>3.1</w:t>
      </w:r>
      <w:r w:rsidR="0073364D">
        <w:rPr>
          <w:rFonts w:ascii="Verdana" w:hAnsi="Verdana"/>
          <w:color w:val="000000" w:themeColor="text1"/>
          <w:sz w:val="22"/>
          <w:szCs w:val="22"/>
        </w:rPr>
        <w:t>7</w:t>
      </w:r>
      <w:r w:rsidRPr="0073364D">
        <w:rPr>
          <w:rFonts w:ascii="Verdana" w:hAnsi="Verdana"/>
          <w:color w:val="000000" w:themeColor="text1"/>
          <w:sz w:val="22"/>
          <w:szCs w:val="22"/>
        </w:rPr>
        <w:tab/>
      </w:r>
      <w:r w:rsidRPr="0073364D">
        <w:rPr>
          <w:rFonts w:ascii="Verdana" w:hAnsi="Verdana"/>
          <w:color w:val="000000" w:themeColor="text1"/>
          <w:sz w:val="22"/>
          <w:szCs w:val="22"/>
        </w:rPr>
        <w:t xml:space="preserve">See section </w:t>
      </w:r>
      <w:r w:rsidR="00BE5EF8">
        <w:rPr>
          <w:rFonts w:ascii="Verdana" w:hAnsi="Verdana"/>
          <w:color w:val="000000" w:themeColor="text1"/>
          <w:sz w:val="22"/>
          <w:szCs w:val="22"/>
        </w:rPr>
        <w:t>5</w:t>
      </w:r>
      <w:r w:rsidRPr="0073364D">
        <w:rPr>
          <w:rFonts w:ascii="Verdana" w:hAnsi="Verdana"/>
          <w:color w:val="000000" w:themeColor="text1"/>
          <w:sz w:val="22"/>
          <w:szCs w:val="22"/>
        </w:rPr>
        <w:t xml:space="preserve"> below which addresses </w:t>
      </w:r>
      <w:r w:rsidRPr="0073364D" w:rsidR="005D59FB">
        <w:rPr>
          <w:rFonts w:ascii="Verdana" w:hAnsi="Verdana"/>
          <w:color w:val="000000" w:themeColor="text1"/>
          <w:sz w:val="22"/>
          <w:szCs w:val="22"/>
        </w:rPr>
        <w:t xml:space="preserve">illumination </w:t>
      </w:r>
      <w:r w:rsidRPr="0073364D" w:rsidR="001B1580">
        <w:rPr>
          <w:rFonts w:ascii="Verdana" w:hAnsi="Verdana"/>
          <w:color w:val="000000" w:themeColor="text1"/>
          <w:sz w:val="22"/>
          <w:szCs w:val="22"/>
        </w:rPr>
        <w:t>conditions.</w:t>
      </w:r>
    </w:p>
    <w:p w:rsidR="00C317EF" w:rsidP="00780A70" w:rsidRDefault="00C317EF" w14:paraId="489BE577" w14:textId="1FBECF23">
      <w:pPr>
        <w:tabs>
          <w:tab w:val="left" w:pos="142"/>
        </w:tabs>
        <w:ind w:left="567" w:hanging="567"/>
        <w:jc w:val="both"/>
        <w:rPr>
          <w:rFonts w:ascii="Verdana" w:hAnsi="Verdana" w:cs="Tahoma"/>
          <w:b/>
          <w:bCs/>
          <w:sz w:val="22"/>
          <w:szCs w:val="22"/>
        </w:rPr>
      </w:pPr>
    </w:p>
    <w:p w:rsidRPr="0073364D" w:rsidR="00C317EF" w:rsidP="00780A70" w:rsidRDefault="00C317EF" w14:paraId="761D4170" w14:textId="77777777">
      <w:pPr>
        <w:tabs>
          <w:tab w:val="left" w:pos="142"/>
        </w:tabs>
        <w:ind w:left="567" w:hanging="567"/>
        <w:jc w:val="both"/>
        <w:rPr>
          <w:rFonts w:ascii="Verdana" w:hAnsi="Verdana" w:cs="Tahoma"/>
          <w:b/>
          <w:bCs/>
          <w:sz w:val="22"/>
          <w:szCs w:val="22"/>
        </w:rPr>
      </w:pPr>
    </w:p>
    <w:p w:rsidRPr="0073364D" w:rsidR="005812EB" w:rsidP="00780A70" w:rsidRDefault="00BE5EF8" w14:paraId="52BB0DFD" w14:textId="57A4A485">
      <w:pPr>
        <w:tabs>
          <w:tab w:val="left" w:pos="142"/>
        </w:tabs>
        <w:ind w:left="567" w:hanging="567"/>
        <w:jc w:val="both"/>
        <w:rPr>
          <w:rFonts w:ascii="Verdana" w:hAnsi="Verdana" w:cs="Arial"/>
          <w:b/>
          <w:color w:val="333333"/>
          <w:sz w:val="22"/>
          <w:szCs w:val="22"/>
        </w:rPr>
      </w:pPr>
      <w:r>
        <w:rPr>
          <w:rFonts w:ascii="Verdana" w:hAnsi="Verdana" w:cs="Tahoma"/>
          <w:b/>
          <w:bCs/>
          <w:sz w:val="22"/>
          <w:szCs w:val="22"/>
        </w:rPr>
        <w:t>4</w:t>
      </w:r>
      <w:r w:rsidRPr="0073364D" w:rsidR="008F79BB">
        <w:rPr>
          <w:rFonts w:ascii="Verdana" w:hAnsi="Verdana" w:cs="Tahoma"/>
          <w:b/>
          <w:bCs/>
          <w:sz w:val="22"/>
          <w:szCs w:val="22"/>
        </w:rPr>
        <w:t>.</w:t>
      </w:r>
      <w:r w:rsidRPr="0073364D" w:rsidR="008F79BB">
        <w:rPr>
          <w:rFonts w:ascii="Verdana" w:hAnsi="Verdana" w:cs="Tahoma"/>
          <w:b/>
          <w:bCs/>
          <w:sz w:val="22"/>
          <w:szCs w:val="22"/>
        </w:rPr>
        <w:tab/>
      </w:r>
      <w:r w:rsidRPr="00210D6D" w:rsidR="006F2B22">
        <w:rPr>
          <w:rFonts w:ascii="Verdana" w:hAnsi="Verdana" w:cs="Arial"/>
          <w:b/>
          <w:color w:val="333333"/>
          <w:sz w:val="22"/>
          <w:szCs w:val="22"/>
        </w:rPr>
        <w:t>P</w:t>
      </w:r>
      <w:r w:rsidRPr="00210D6D">
        <w:rPr>
          <w:rFonts w:ascii="Verdana" w:hAnsi="Verdana" w:cs="Arial"/>
          <w:b/>
          <w:color w:val="333333"/>
          <w:sz w:val="22"/>
          <w:szCs w:val="22"/>
        </w:rPr>
        <w:t>UBLIC SAFETY</w:t>
      </w:r>
    </w:p>
    <w:p w:rsidRPr="0073364D" w:rsidR="006F2B22" w:rsidP="00780A70" w:rsidRDefault="006F2B22" w14:paraId="52BB0DFE" w14:textId="77777777">
      <w:pPr>
        <w:ind w:left="567" w:hanging="567"/>
        <w:jc w:val="both"/>
        <w:rPr>
          <w:rFonts w:ascii="Verdana" w:hAnsi="Verdana" w:cs="Arial"/>
          <w:color w:val="333333"/>
          <w:sz w:val="22"/>
          <w:szCs w:val="22"/>
        </w:rPr>
      </w:pPr>
    </w:p>
    <w:p w:rsidRPr="0073364D" w:rsidR="00A40C29" w:rsidP="00780A70" w:rsidRDefault="00BE5EF8" w14:paraId="52BB0DFF" w14:textId="44A2A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Verdana" w:hAnsi="Verdana" w:cs="Arial"/>
          <w:color w:val="0B0C0C"/>
          <w:sz w:val="22"/>
          <w:szCs w:val="22"/>
          <w:shd w:val="clear" w:color="auto" w:fill="FFFFFF"/>
        </w:rPr>
      </w:pPr>
      <w:r>
        <w:rPr>
          <w:rFonts w:ascii="Verdana" w:hAnsi="Verdana" w:cs="Frutiger-Light"/>
          <w:sz w:val="22"/>
          <w:szCs w:val="22"/>
        </w:rPr>
        <w:t>4</w:t>
      </w:r>
      <w:r w:rsidRPr="0073364D" w:rsidR="00A40C29">
        <w:rPr>
          <w:rFonts w:ascii="Verdana" w:hAnsi="Verdana" w:cs="Frutiger-Light"/>
          <w:sz w:val="22"/>
          <w:szCs w:val="22"/>
        </w:rPr>
        <w:t>.1</w:t>
      </w:r>
      <w:r w:rsidRPr="0073364D" w:rsidR="00A40C29">
        <w:rPr>
          <w:rFonts w:ascii="Verdana" w:hAnsi="Verdana" w:cs="Frutiger-Light"/>
          <w:sz w:val="22"/>
          <w:szCs w:val="22"/>
        </w:rPr>
        <w:tab/>
      </w:r>
      <w:r w:rsidRPr="0073364D" w:rsidR="00A40C29">
        <w:rPr>
          <w:rFonts w:ascii="Verdana" w:hAnsi="Verdana" w:cs="Frutiger-Light"/>
          <w:sz w:val="22"/>
          <w:szCs w:val="22"/>
        </w:rPr>
        <w:t>National Planning Practice Guidance recognizes that while a</w:t>
      </w:r>
      <w:r w:rsidRPr="0073364D" w:rsidR="00A40C29">
        <w:rPr>
          <w:rFonts w:ascii="Verdana" w:hAnsi="Verdana" w:cs="Arial"/>
          <w:color w:val="0B0C0C"/>
          <w:sz w:val="22"/>
          <w:szCs w:val="22"/>
          <w:shd w:val="clear" w:color="auto" w:fill="FFFFFF"/>
        </w:rPr>
        <w:t xml:space="preserve">ll advertisements are intended to attract attention, advertisements that are proposed at points </w:t>
      </w:r>
      <w:r w:rsidRPr="0073364D" w:rsidR="00A40C29">
        <w:rPr>
          <w:rFonts w:ascii="Verdana" w:hAnsi="Verdana" w:cs="Arial"/>
          <w:i/>
          <w:color w:val="0B0C0C"/>
          <w:sz w:val="22"/>
          <w:szCs w:val="22"/>
          <w:shd w:val="clear" w:color="auto" w:fill="FFFFFF"/>
        </w:rPr>
        <w:t>“where drivers need to take more care are more likely to affect public safety”</w:t>
      </w:r>
      <w:r w:rsidRPr="0073364D" w:rsidR="00A40C29">
        <w:rPr>
          <w:rFonts w:ascii="Verdana" w:hAnsi="Verdana" w:cs="Arial"/>
          <w:color w:val="0B0C0C"/>
          <w:sz w:val="22"/>
          <w:szCs w:val="22"/>
          <w:shd w:val="clear" w:color="auto" w:fill="FFFFFF"/>
        </w:rPr>
        <w:t>.  The guidance lists such points as being</w:t>
      </w:r>
      <w:r w:rsidRPr="0073364D" w:rsidR="001C1984">
        <w:rPr>
          <w:rFonts w:ascii="Verdana" w:hAnsi="Verdana" w:cs="Arial"/>
          <w:color w:val="0B0C0C"/>
          <w:sz w:val="22"/>
          <w:szCs w:val="22"/>
          <w:shd w:val="clear" w:color="auto" w:fill="FFFFFF"/>
        </w:rPr>
        <w:t xml:space="preserve"> </w:t>
      </w:r>
      <w:r w:rsidRPr="0073364D" w:rsidR="00A40C29">
        <w:rPr>
          <w:rFonts w:ascii="Verdana" w:hAnsi="Verdana" w:cs="Arial"/>
          <w:color w:val="0B0C0C"/>
          <w:sz w:val="22"/>
          <w:szCs w:val="22"/>
          <w:shd w:val="clear" w:color="auto" w:fill="FFFFFF"/>
        </w:rPr>
        <w:t>junctions, roundabouts, pedestrian crossings, on the approach to a low bridge or level crossing or other places where local conditions present traffic hazards.  The guidance adds that there are less likely to be road safety problems if the advertisement is within a commercial or industrial locality, if it is a shop fascia sign, name-board, trade or business sign or a normal poster panel, and if the advertisement is not on the skyline.</w:t>
      </w:r>
    </w:p>
    <w:p w:rsidRPr="0073364D" w:rsidR="00A40C29" w:rsidP="00780A70" w:rsidRDefault="00A40C29" w14:paraId="52BB0E00" w14:textId="77777777">
      <w:pPr>
        <w:jc w:val="both"/>
        <w:rPr>
          <w:rFonts w:ascii="Verdana" w:hAnsi="Verdana" w:cs="Arial"/>
          <w:color w:val="333333"/>
          <w:sz w:val="22"/>
          <w:szCs w:val="22"/>
        </w:rPr>
      </w:pPr>
    </w:p>
    <w:p w:rsidRPr="0073364D" w:rsidR="001C1984" w:rsidP="00780A70" w:rsidRDefault="00BE5EF8" w14:paraId="52BB0E01" w14:textId="317D704C">
      <w:pPr>
        <w:ind w:left="567" w:hanging="567"/>
        <w:jc w:val="both"/>
        <w:rPr>
          <w:rFonts w:ascii="Verdana" w:hAnsi="Verdana"/>
          <w:color w:val="000000" w:themeColor="text1"/>
          <w:sz w:val="22"/>
          <w:szCs w:val="22"/>
        </w:rPr>
      </w:pPr>
      <w:r>
        <w:rPr>
          <w:rFonts w:ascii="Verdana" w:hAnsi="Verdana" w:cs="Arial"/>
          <w:color w:val="333333"/>
          <w:sz w:val="22"/>
          <w:szCs w:val="22"/>
        </w:rPr>
        <w:t>4</w:t>
      </w:r>
      <w:r w:rsidRPr="0073364D" w:rsidR="00A277DA">
        <w:rPr>
          <w:rFonts w:ascii="Verdana" w:hAnsi="Verdana" w:cs="Arial"/>
          <w:color w:val="333333"/>
          <w:sz w:val="22"/>
          <w:szCs w:val="22"/>
        </w:rPr>
        <w:t>.2</w:t>
      </w:r>
      <w:r w:rsidRPr="0073364D" w:rsidR="00A277DA">
        <w:rPr>
          <w:rFonts w:ascii="Verdana" w:hAnsi="Verdana" w:cs="Arial"/>
          <w:color w:val="333333"/>
          <w:sz w:val="22"/>
          <w:szCs w:val="22"/>
        </w:rPr>
        <w:tab/>
      </w:r>
      <w:r w:rsidRPr="0073364D" w:rsidR="001C1984">
        <w:rPr>
          <w:rFonts w:ascii="Verdana" w:hAnsi="Verdana" w:cs="Arial"/>
          <w:color w:val="333333"/>
          <w:sz w:val="22"/>
          <w:szCs w:val="22"/>
        </w:rPr>
        <w:t xml:space="preserve">We refer below to </w:t>
      </w:r>
      <w:r w:rsidRPr="0073364D" w:rsidR="00DB1491">
        <w:rPr>
          <w:rFonts w:ascii="Verdana" w:hAnsi="Verdana" w:cs="Arial"/>
          <w:color w:val="333333"/>
          <w:sz w:val="22"/>
          <w:szCs w:val="22"/>
        </w:rPr>
        <w:t>the</w:t>
      </w:r>
      <w:r w:rsidRPr="0073364D" w:rsidR="001C1984">
        <w:rPr>
          <w:rFonts w:ascii="Verdana" w:hAnsi="Verdana" w:cs="Arial"/>
          <w:color w:val="333333"/>
          <w:sz w:val="22"/>
          <w:szCs w:val="22"/>
        </w:rPr>
        <w:t xml:space="preserve"> guidance document produced by </w:t>
      </w:r>
      <w:r w:rsidRPr="0073364D" w:rsidR="001C1984">
        <w:rPr>
          <w:rFonts w:ascii="Verdana" w:hAnsi="Verdana"/>
          <w:color w:val="000000" w:themeColor="text1"/>
          <w:sz w:val="22"/>
          <w:szCs w:val="22"/>
        </w:rPr>
        <w:t>Transport for London (</w:t>
      </w:r>
      <w:proofErr w:type="spellStart"/>
      <w:r w:rsidRPr="0073364D" w:rsidR="001C1984">
        <w:rPr>
          <w:rFonts w:ascii="Verdana" w:hAnsi="Verdana"/>
          <w:color w:val="000000" w:themeColor="text1"/>
          <w:sz w:val="22"/>
          <w:szCs w:val="22"/>
        </w:rPr>
        <w:t>TfL</w:t>
      </w:r>
      <w:proofErr w:type="spellEnd"/>
      <w:r w:rsidRPr="0073364D" w:rsidR="001C1984">
        <w:rPr>
          <w:rFonts w:ascii="Verdana" w:hAnsi="Verdana"/>
          <w:color w:val="000000" w:themeColor="text1"/>
          <w:sz w:val="22"/>
          <w:szCs w:val="22"/>
        </w:rPr>
        <w:t xml:space="preserve">) which is used by London Boroughs </w:t>
      </w:r>
      <w:r w:rsidRPr="0073364D" w:rsidR="00392BF2">
        <w:rPr>
          <w:rFonts w:ascii="Verdana" w:hAnsi="Verdana"/>
          <w:color w:val="000000" w:themeColor="text1"/>
          <w:sz w:val="22"/>
          <w:szCs w:val="22"/>
        </w:rPr>
        <w:t xml:space="preserve">and other Local Authorities </w:t>
      </w:r>
      <w:r w:rsidRPr="0073364D" w:rsidR="00457B75">
        <w:rPr>
          <w:rFonts w:ascii="Verdana" w:hAnsi="Verdana"/>
          <w:color w:val="000000" w:themeColor="text1"/>
          <w:sz w:val="22"/>
          <w:szCs w:val="22"/>
        </w:rPr>
        <w:t xml:space="preserve">across the UK </w:t>
      </w:r>
      <w:r w:rsidRPr="0073364D" w:rsidR="001C1984">
        <w:rPr>
          <w:rFonts w:ascii="Verdana" w:hAnsi="Verdana"/>
          <w:color w:val="000000" w:themeColor="text1"/>
          <w:sz w:val="22"/>
          <w:szCs w:val="22"/>
        </w:rPr>
        <w:t>in assessing proposed roadside digital advertisement displays.  Key provisions within the document that are relevant to this proposal are reproduced below</w:t>
      </w:r>
      <w:r w:rsidRPr="0073364D" w:rsidR="00A277DA">
        <w:rPr>
          <w:rFonts w:ascii="Verdana" w:hAnsi="Verdana"/>
          <w:color w:val="000000" w:themeColor="text1"/>
          <w:sz w:val="22"/>
          <w:szCs w:val="22"/>
        </w:rPr>
        <w:t>.</w:t>
      </w:r>
    </w:p>
    <w:p w:rsidRPr="0073364D" w:rsidR="006F2B22" w:rsidP="00780A70" w:rsidRDefault="006F2B22" w14:paraId="52BB0E02" w14:textId="77777777">
      <w:pPr>
        <w:jc w:val="both"/>
        <w:rPr>
          <w:rFonts w:ascii="Verdana" w:hAnsi="Verdana" w:cs="Arial"/>
          <w:color w:val="333333"/>
          <w:sz w:val="22"/>
          <w:szCs w:val="22"/>
        </w:rPr>
      </w:pPr>
    </w:p>
    <w:p w:rsidRPr="003952B1" w:rsidR="006F2B22" w:rsidP="003952B1" w:rsidRDefault="006F2B22" w14:paraId="52BB0E03" w14:textId="437FC00E">
      <w:pPr>
        <w:ind w:left="567"/>
        <w:jc w:val="both"/>
        <w:rPr>
          <w:rFonts w:ascii="Verdana" w:hAnsi="Verdana"/>
          <w:b/>
          <w:color w:val="000000" w:themeColor="text1"/>
          <w:sz w:val="22"/>
          <w:szCs w:val="22"/>
        </w:rPr>
      </w:pPr>
      <w:proofErr w:type="spellStart"/>
      <w:r w:rsidRPr="003952B1">
        <w:rPr>
          <w:rFonts w:ascii="Verdana" w:hAnsi="Verdana"/>
          <w:b/>
          <w:color w:val="000000" w:themeColor="text1"/>
          <w:sz w:val="22"/>
          <w:szCs w:val="22"/>
        </w:rPr>
        <w:t>T</w:t>
      </w:r>
      <w:r w:rsidRPr="003952B1" w:rsidR="00DB1491">
        <w:rPr>
          <w:rFonts w:ascii="Verdana" w:hAnsi="Verdana"/>
          <w:b/>
          <w:color w:val="000000" w:themeColor="text1"/>
          <w:sz w:val="22"/>
          <w:szCs w:val="22"/>
        </w:rPr>
        <w:t>f</w:t>
      </w:r>
      <w:r w:rsidRPr="003952B1">
        <w:rPr>
          <w:rFonts w:ascii="Verdana" w:hAnsi="Verdana"/>
          <w:b/>
          <w:color w:val="000000" w:themeColor="text1"/>
          <w:sz w:val="22"/>
          <w:szCs w:val="22"/>
        </w:rPr>
        <w:t>L</w:t>
      </w:r>
      <w:proofErr w:type="spellEnd"/>
      <w:r w:rsidRPr="003952B1">
        <w:rPr>
          <w:rFonts w:ascii="Verdana" w:hAnsi="Verdana"/>
          <w:b/>
          <w:color w:val="000000" w:themeColor="text1"/>
          <w:sz w:val="22"/>
          <w:szCs w:val="22"/>
        </w:rPr>
        <w:t xml:space="preserve"> Guidance for Digital Roadside Advertising </w:t>
      </w:r>
      <w:r w:rsidRPr="003952B1" w:rsidR="00DD7EB9">
        <w:rPr>
          <w:rFonts w:ascii="Verdana" w:hAnsi="Verdana"/>
          <w:b/>
          <w:color w:val="000000" w:themeColor="text1"/>
          <w:sz w:val="22"/>
          <w:szCs w:val="22"/>
        </w:rPr>
        <w:t xml:space="preserve">and </w:t>
      </w:r>
      <w:r w:rsidRPr="003952B1">
        <w:rPr>
          <w:rFonts w:ascii="Verdana" w:hAnsi="Verdana"/>
          <w:b/>
          <w:color w:val="000000" w:themeColor="text1"/>
          <w:sz w:val="22"/>
          <w:szCs w:val="22"/>
        </w:rPr>
        <w:t xml:space="preserve">Proposed Best Practice </w:t>
      </w:r>
      <w:r w:rsidRPr="003952B1" w:rsidR="00DD7EB9">
        <w:rPr>
          <w:rFonts w:ascii="Verdana" w:hAnsi="Verdana"/>
          <w:b/>
          <w:color w:val="000000" w:themeColor="text1"/>
          <w:sz w:val="22"/>
          <w:szCs w:val="22"/>
        </w:rPr>
        <w:t>(</w:t>
      </w:r>
      <w:r w:rsidRPr="003952B1">
        <w:rPr>
          <w:rFonts w:ascii="Verdana" w:hAnsi="Verdana"/>
          <w:b/>
          <w:color w:val="000000" w:themeColor="text1"/>
          <w:sz w:val="22"/>
          <w:szCs w:val="22"/>
        </w:rPr>
        <w:t>2013</w:t>
      </w:r>
      <w:r w:rsidRPr="003952B1" w:rsidR="00DD7EB9">
        <w:rPr>
          <w:rFonts w:ascii="Verdana" w:hAnsi="Verdana"/>
          <w:b/>
          <w:color w:val="000000" w:themeColor="text1"/>
          <w:sz w:val="22"/>
          <w:szCs w:val="22"/>
        </w:rPr>
        <w:t>)</w:t>
      </w:r>
    </w:p>
    <w:p w:rsidRPr="0073364D" w:rsidR="006F2B22" w:rsidP="00780A70" w:rsidRDefault="006F2B22" w14:paraId="52BB0E04" w14:textId="77777777">
      <w:pPr>
        <w:ind w:left="567" w:hanging="567"/>
        <w:jc w:val="both"/>
        <w:rPr>
          <w:rFonts w:ascii="Verdana" w:hAnsi="Verdana"/>
          <w:color w:val="000000" w:themeColor="text1"/>
          <w:sz w:val="22"/>
          <w:szCs w:val="22"/>
        </w:rPr>
      </w:pPr>
    </w:p>
    <w:p w:rsidRPr="0073364D" w:rsidR="006F2B22" w:rsidP="00880332" w:rsidRDefault="00BE5EF8" w14:paraId="52BB0E05" w14:textId="46ACB8BA">
      <w:pPr>
        <w:ind w:left="567" w:hanging="567"/>
        <w:jc w:val="both"/>
        <w:rPr>
          <w:rFonts w:ascii="Verdana" w:hAnsi="Verdana"/>
          <w:i/>
          <w:color w:val="000000" w:themeColor="text1"/>
          <w:sz w:val="22"/>
          <w:szCs w:val="22"/>
        </w:rPr>
      </w:pPr>
      <w:r>
        <w:rPr>
          <w:rFonts w:ascii="Verdana" w:hAnsi="Verdana"/>
          <w:color w:val="000000" w:themeColor="text1"/>
          <w:sz w:val="22"/>
          <w:szCs w:val="22"/>
        </w:rPr>
        <w:t>4</w:t>
      </w:r>
      <w:r w:rsidRPr="0073364D" w:rsidR="00A277DA">
        <w:rPr>
          <w:rFonts w:ascii="Verdana" w:hAnsi="Verdana"/>
          <w:color w:val="000000" w:themeColor="text1"/>
          <w:sz w:val="22"/>
          <w:szCs w:val="22"/>
        </w:rPr>
        <w:t>.3</w:t>
      </w:r>
      <w:r w:rsidRPr="0073364D" w:rsidR="00A277DA">
        <w:rPr>
          <w:rFonts w:ascii="Verdana" w:hAnsi="Verdana"/>
          <w:color w:val="000000" w:themeColor="text1"/>
          <w:sz w:val="22"/>
          <w:szCs w:val="22"/>
        </w:rPr>
        <w:tab/>
      </w:r>
      <w:r w:rsidRPr="00880332" w:rsidR="00A277DA">
        <w:rPr>
          <w:rFonts w:ascii="Verdana" w:hAnsi="Verdana"/>
          <w:color w:val="000000" w:themeColor="text1"/>
          <w:sz w:val="22"/>
          <w:szCs w:val="22"/>
        </w:rPr>
        <w:t>Under the heading</w:t>
      </w:r>
      <w:r w:rsidRPr="0073364D" w:rsidR="00A277DA">
        <w:rPr>
          <w:rFonts w:ascii="Verdana" w:hAnsi="Verdana"/>
          <w:color w:val="000000" w:themeColor="text1"/>
          <w:sz w:val="22"/>
          <w:szCs w:val="22"/>
        </w:rPr>
        <w:t xml:space="preserve"> ‘</w:t>
      </w:r>
      <w:r w:rsidRPr="0073364D" w:rsidR="006F2B22">
        <w:rPr>
          <w:rFonts w:ascii="Verdana" w:hAnsi="Verdana"/>
          <w:bCs/>
          <w:color w:val="000000" w:themeColor="text1"/>
          <w:sz w:val="22"/>
          <w:szCs w:val="22"/>
        </w:rPr>
        <w:t>Locations</w:t>
      </w:r>
      <w:r w:rsidRPr="0073364D" w:rsidR="00A277DA">
        <w:rPr>
          <w:rFonts w:ascii="Verdana" w:hAnsi="Verdana"/>
          <w:bCs/>
          <w:color w:val="000000" w:themeColor="text1"/>
          <w:sz w:val="22"/>
          <w:szCs w:val="22"/>
        </w:rPr>
        <w:t>’ the document states, “</w:t>
      </w:r>
      <w:r w:rsidRPr="0073364D" w:rsidR="006F2B22">
        <w:rPr>
          <w:rFonts w:ascii="Verdana" w:hAnsi="Verdana"/>
          <w:i/>
          <w:color w:val="000000" w:themeColor="text1"/>
          <w:sz w:val="22"/>
          <w:szCs w:val="22"/>
        </w:rPr>
        <w:t>Static digital advertising is likely to be acceptable in locations where static advertising exists or would be accepted.</w:t>
      </w:r>
      <w:r w:rsidRPr="0073364D" w:rsidR="00A277DA">
        <w:rPr>
          <w:rFonts w:ascii="Verdana" w:hAnsi="Verdana"/>
          <w:i/>
          <w:color w:val="000000" w:themeColor="text1"/>
          <w:sz w:val="22"/>
          <w:szCs w:val="22"/>
        </w:rPr>
        <w:t>”</w:t>
      </w:r>
    </w:p>
    <w:p w:rsidRPr="0073364D" w:rsidR="00A277DA" w:rsidP="00780A70" w:rsidRDefault="00A277DA" w14:paraId="52BB0E06" w14:textId="77777777">
      <w:pPr>
        <w:rPr>
          <w:rFonts w:ascii="Verdana" w:hAnsi="Verdana"/>
          <w:color w:val="000000" w:themeColor="text1"/>
          <w:sz w:val="22"/>
          <w:szCs w:val="22"/>
        </w:rPr>
      </w:pPr>
    </w:p>
    <w:p w:rsidRPr="0073364D" w:rsidR="006F2B22" w:rsidP="00780A70" w:rsidRDefault="00BE5EF8" w14:paraId="52BB0E07" w14:textId="6B3780B3">
      <w:pPr>
        <w:ind w:left="567" w:hanging="567"/>
        <w:rPr>
          <w:rFonts w:ascii="Verdana" w:hAnsi="Verdana"/>
          <w:color w:val="000000" w:themeColor="text1"/>
          <w:sz w:val="22"/>
          <w:szCs w:val="22"/>
        </w:rPr>
      </w:pPr>
      <w:r>
        <w:rPr>
          <w:rFonts w:ascii="Verdana" w:hAnsi="Verdana"/>
          <w:color w:val="000000" w:themeColor="text1"/>
          <w:sz w:val="22"/>
          <w:szCs w:val="22"/>
        </w:rPr>
        <w:t>4</w:t>
      </w:r>
      <w:r w:rsidRPr="0073364D" w:rsidR="00A277DA">
        <w:rPr>
          <w:rFonts w:ascii="Verdana" w:hAnsi="Verdana"/>
          <w:color w:val="000000" w:themeColor="text1"/>
          <w:sz w:val="22"/>
          <w:szCs w:val="22"/>
        </w:rPr>
        <w:t>.4</w:t>
      </w:r>
      <w:r w:rsidRPr="0073364D" w:rsidR="00A277DA">
        <w:rPr>
          <w:rFonts w:ascii="Verdana" w:hAnsi="Verdana"/>
          <w:color w:val="000000" w:themeColor="text1"/>
          <w:sz w:val="22"/>
          <w:szCs w:val="22"/>
        </w:rPr>
        <w:tab/>
      </w:r>
      <w:r w:rsidRPr="0073364D" w:rsidR="00A277DA">
        <w:rPr>
          <w:rFonts w:ascii="Verdana" w:hAnsi="Verdana"/>
          <w:color w:val="000000" w:themeColor="text1"/>
          <w:sz w:val="22"/>
          <w:szCs w:val="22"/>
        </w:rPr>
        <w:t xml:space="preserve">In section </w:t>
      </w:r>
      <w:r w:rsidRPr="0073364D" w:rsidR="006F2B22">
        <w:rPr>
          <w:rFonts w:ascii="Verdana" w:hAnsi="Verdana"/>
          <w:bCs/>
          <w:color w:val="000000" w:themeColor="text1"/>
          <w:sz w:val="22"/>
          <w:szCs w:val="22"/>
        </w:rPr>
        <w:t xml:space="preserve">5 </w:t>
      </w:r>
      <w:r w:rsidRPr="0073364D" w:rsidR="00A277DA">
        <w:rPr>
          <w:rFonts w:ascii="Verdana" w:hAnsi="Verdana"/>
          <w:bCs/>
          <w:color w:val="000000" w:themeColor="text1"/>
          <w:sz w:val="22"/>
          <w:szCs w:val="22"/>
        </w:rPr>
        <w:t>‘</w:t>
      </w:r>
      <w:r w:rsidRPr="0073364D" w:rsidR="006F2B22">
        <w:rPr>
          <w:rFonts w:ascii="Verdana" w:hAnsi="Verdana"/>
          <w:bCs/>
          <w:color w:val="000000" w:themeColor="text1"/>
          <w:sz w:val="22"/>
          <w:szCs w:val="22"/>
        </w:rPr>
        <w:t>Summary and Conclusion</w:t>
      </w:r>
      <w:r w:rsidRPr="0073364D" w:rsidR="00A277DA">
        <w:rPr>
          <w:rFonts w:ascii="Verdana" w:hAnsi="Verdana"/>
          <w:bCs/>
          <w:color w:val="000000" w:themeColor="text1"/>
          <w:sz w:val="22"/>
          <w:szCs w:val="22"/>
        </w:rPr>
        <w:t>’, the document states:</w:t>
      </w:r>
    </w:p>
    <w:p w:rsidRPr="0073364D" w:rsidR="006F2B22" w:rsidP="00780A70" w:rsidRDefault="006F2B22" w14:paraId="52BB0E08" w14:textId="77777777">
      <w:pPr>
        <w:ind w:left="426"/>
        <w:rPr>
          <w:rFonts w:ascii="Verdana" w:hAnsi="Verdana"/>
          <w:i/>
          <w:color w:val="000000" w:themeColor="text1"/>
          <w:sz w:val="22"/>
          <w:szCs w:val="22"/>
        </w:rPr>
      </w:pPr>
    </w:p>
    <w:p w:rsidRPr="008446C6" w:rsidR="006F2B22" w:rsidP="00457B75" w:rsidRDefault="00A277DA" w14:paraId="52BB0E09" w14:textId="77777777">
      <w:pPr>
        <w:ind w:left="567"/>
        <w:jc w:val="both"/>
        <w:rPr>
          <w:rFonts w:ascii="Verdana" w:hAnsi="Verdana"/>
          <w:i/>
          <w:color w:val="000000" w:themeColor="text1"/>
          <w:sz w:val="22"/>
          <w:szCs w:val="22"/>
        </w:rPr>
      </w:pPr>
      <w:r w:rsidRPr="008446C6">
        <w:rPr>
          <w:rFonts w:ascii="Verdana" w:hAnsi="Verdana"/>
          <w:i/>
          <w:color w:val="000000" w:themeColor="text1"/>
          <w:sz w:val="22"/>
          <w:szCs w:val="22"/>
        </w:rPr>
        <w:t>“</w:t>
      </w:r>
      <w:r w:rsidRPr="008446C6" w:rsidR="006F2B22">
        <w:rPr>
          <w:rFonts w:ascii="Verdana" w:hAnsi="Verdana"/>
          <w:i/>
          <w:color w:val="000000" w:themeColor="text1"/>
          <w:sz w:val="22"/>
          <w:szCs w:val="22"/>
        </w:rPr>
        <w:t>5.2.     Sites at locations with increased driver cognitive demand should not immediately be excluded or discounted, but should be subject to detailed assessment.</w:t>
      </w:r>
    </w:p>
    <w:p w:rsidRPr="008446C6" w:rsidR="00392BF2" w:rsidP="00457B75" w:rsidRDefault="00392BF2" w14:paraId="41118042" w14:textId="77777777">
      <w:pPr>
        <w:ind w:left="567"/>
        <w:jc w:val="both"/>
        <w:rPr>
          <w:rFonts w:ascii="Verdana" w:hAnsi="Verdana"/>
          <w:i/>
          <w:color w:val="000000" w:themeColor="text1"/>
          <w:sz w:val="22"/>
          <w:szCs w:val="22"/>
        </w:rPr>
      </w:pPr>
    </w:p>
    <w:p w:rsidRPr="008446C6" w:rsidR="006F2B22" w:rsidP="00457B75" w:rsidRDefault="006F2B22" w14:paraId="52BB0E0A" w14:textId="5432EF41">
      <w:pPr>
        <w:ind w:left="567"/>
        <w:jc w:val="both"/>
        <w:rPr>
          <w:rFonts w:ascii="Verdana" w:hAnsi="Verdana"/>
          <w:i/>
          <w:color w:val="000000" w:themeColor="text1"/>
          <w:sz w:val="22"/>
          <w:szCs w:val="22"/>
        </w:rPr>
      </w:pPr>
      <w:r w:rsidRPr="008446C6">
        <w:rPr>
          <w:rFonts w:ascii="Verdana" w:hAnsi="Verdana"/>
          <w:i/>
          <w:color w:val="000000" w:themeColor="text1"/>
          <w:sz w:val="22"/>
          <w:szCs w:val="22"/>
        </w:rPr>
        <w:t>5.4.     Controls over the use of digital adverts should follow the best practice guidelines in this report and should be secured by special condition, with more careful management required in higher risk locations.  As a minimum, the OMC roadside digital code should be complied with (</w:t>
      </w:r>
      <w:r w:rsidRPr="008446C6">
        <w:rPr>
          <w:rFonts w:ascii="Verdana" w:hAnsi="Verdana"/>
          <w:i/>
          <w:iCs/>
          <w:color w:val="000000" w:themeColor="text1"/>
          <w:sz w:val="22"/>
          <w:szCs w:val="22"/>
        </w:rPr>
        <w:t>Appendix B</w:t>
      </w:r>
      <w:r w:rsidRPr="008446C6">
        <w:rPr>
          <w:rFonts w:ascii="Verdana" w:hAnsi="Verdana"/>
          <w:i/>
          <w:color w:val="000000" w:themeColor="text1"/>
          <w:sz w:val="22"/>
          <w:szCs w:val="22"/>
        </w:rPr>
        <w:t>).</w:t>
      </w:r>
    </w:p>
    <w:p w:rsidRPr="008446C6" w:rsidR="006F2B22" w:rsidP="00457B75" w:rsidRDefault="006F2B22" w14:paraId="52BB0E0B" w14:textId="77777777">
      <w:pPr>
        <w:ind w:left="567"/>
        <w:jc w:val="both"/>
        <w:rPr>
          <w:rFonts w:ascii="Verdana" w:hAnsi="Verdana"/>
          <w:i/>
          <w:color w:val="000000" w:themeColor="text1"/>
          <w:sz w:val="22"/>
          <w:szCs w:val="22"/>
        </w:rPr>
      </w:pPr>
    </w:p>
    <w:p w:rsidRPr="008446C6" w:rsidR="006F2B22" w:rsidP="00457B75" w:rsidRDefault="006F2B22" w14:paraId="52BB0E0C" w14:textId="77777777">
      <w:pPr>
        <w:ind w:left="567"/>
        <w:jc w:val="both"/>
        <w:rPr>
          <w:rFonts w:ascii="Verdana" w:hAnsi="Verdana"/>
          <w:i/>
          <w:color w:val="000000" w:themeColor="text1"/>
          <w:sz w:val="22"/>
          <w:szCs w:val="22"/>
        </w:rPr>
      </w:pPr>
      <w:r w:rsidRPr="008446C6">
        <w:rPr>
          <w:rFonts w:ascii="Verdana" w:hAnsi="Verdana"/>
          <w:i/>
          <w:color w:val="000000" w:themeColor="text1"/>
          <w:sz w:val="22"/>
          <w:szCs w:val="22"/>
        </w:rPr>
        <w:t xml:space="preserve">5.5.     Not all sites will be appropriate for advertising, but with appropriate controls, digital advertising should be no more or less acceptable than traditional forms of advertising (i.e. backlight, poster and paste, vinyl </w:t>
      </w:r>
      <w:proofErr w:type="spellStart"/>
      <w:r w:rsidRPr="008446C6">
        <w:rPr>
          <w:rFonts w:ascii="Verdana" w:hAnsi="Verdana"/>
          <w:i/>
          <w:color w:val="000000" w:themeColor="text1"/>
          <w:sz w:val="22"/>
          <w:szCs w:val="22"/>
        </w:rPr>
        <w:t>etc</w:t>
      </w:r>
      <w:proofErr w:type="spellEnd"/>
      <w:r w:rsidRPr="008446C6">
        <w:rPr>
          <w:rFonts w:ascii="Verdana" w:hAnsi="Verdana"/>
          <w:i/>
          <w:color w:val="000000" w:themeColor="text1"/>
          <w:sz w:val="22"/>
          <w:szCs w:val="22"/>
        </w:rPr>
        <w:t>).</w:t>
      </w:r>
      <w:r w:rsidRPr="008446C6" w:rsidR="00A277DA">
        <w:rPr>
          <w:rFonts w:ascii="Verdana" w:hAnsi="Verdana"/>
          <w:i/>
          <w:color w:val="000000" w:themeColor="text1"/>
          <w:sz w:val="22"/>
          <w:szCs w:val="22"/>
        </w:rPr>
        <w:t>”</w:t>
      </w:r>
    </w:p>
    <w:p w:rsidRPr="0073364D" w:rsidR="00650682" w:rsidP="00780A70" w:rsidRDefault="00650682" w14:paraId="52BB0E0D" w14:textId="77777777">
      <w:pPr>
        <w:ind w:left="567" w:hanging="567"/>
        <w:rPr>
          <w:rFonts w:ascii="Verdana" w:hAnsi="Verdana"/>
          <w:color w:val="000000" w:themeColor="text1"/>
          <w:sz w:val="22"/>
          <w:szCs w:val="22"/>
        </w:rPr>
      </w:pPr>
    </w:p>
    <w:p w:rsidRPr="0073364D" w:rsidR="00F91AEB" w:rsidP="00780A70" w:rsidRDefault="00BE5EF8" w14:paraId="52BB0E0E" w14:textId="4CF470E7">
      <w:pPr>
        <w:ind w:left="567" w:hanging="567"/>
        <w:rPr>
          <w:rFonts w:ascii="Verdana" w:hAnsi="Verdana"/>
          <w:color w:val="000000" w:themeColor="text1"/>
          <w:sz w:val="22"/>
          <w:szCs w:val="22"/>
        </w:rPr>
      </w:pPr>
      <w:r>
        <w:rPr>
          <w:rFonts w:ascii="Verdana" w:hAnsi="Verdana"/>
          <w:color w:val="000000" w:themeColor="text1"/>
          <w:sz w:val="22"/>
          <w:szCs w:val="22"/>
        </w:rPr>
        <w:t>4</w:t>
      </w:r>
      <w:r w:rsidRPr="0073364D" w:rsidR="00F91AEB">
        <w:rPr>
          <w:rFonts w:ascii="Verdana" w:hAnsi="Verdana"/>
          <w:color w:val="000000" w:themeColor="text1"/>
          <w:sz w:val="22"/>
          <w:szCs w:val="22"/>
        </w:rPr>
        <w:t>.5</w:t>
      </w:r>
      <w:r w:rsidRPr="0073364D" w:rsidR="00F91AEB">
        <w:rPr>
          <w:rFonts w:ascii="Verdana" w:hAnsi="Verdana"/>
          <w:color w:val="000000" w:themeColor="text1"/>
          <w:sz w:val="22"/>
          <w:szCs w:val="22"/>
        </w:rPr>
        <w:tab/>
      </w:r>
      <w:r w:rsidRPr="0073364D" w:rsidR="00F91AEB">
        <w:rPr>
          <w:rFonts w:ascii="Verdana" w:hAnsi="Verdana"/>
          <w:color w:val="000000" w:themeColor="text1"/>
          <w:sz w:val="22"/>
          <w:szCs w:val="22"/>
        </w:rPr>
        <w:t>The OMC roadside digital code is reproduced below:</w:t>
      </w:r>
    </w:p>
    <w:p w:rsidRPr="008446C6" w:rsidR="00F91AEB" w:rsidP="00780A70" w:rsidRDefault="00F91AEB" w14:paraId="52BB0E10" w14:textId="77777777">
      <w:pPr>
        <w:autoSpaceDE w:val="0"/>
        <w:autoSpaceDN w:val="0"/>
        <w:adjustRightInd w:val="0"/>
        <w:ind w:left="567"/>
        <w:rPr>
          <w:rFonts w:ascii="Verdana" w:hAnsi="Verdana" w:cs="Arial-BoldMT" w:eastAsiaTheme="minorHAnsi"/>
          <w:sz w:val="22"/>
          <w:szCs w:val="22"/>
          <w:lang w:val="en-GB"/>
        </w:rPr>
      </w:pPr>
      <w:r w:rsidRPr="008446C6">
        <w:rPr>
          <w:rFonts w:ascii="Verdana" w:hAnsi="Verdana" w:cs="Arial-BoldMT" w:eastAsiaTheme="minorHAnsi"/>
          <w:sz w:val="22"/>
          <w:szCs w:val="22"/>
          <w:lang w:val="en-GB"/>
        </w:rPr>
        <w:t>“</w:t>
      </w:r>
      <w:r w:rsidRPr="008446C6">
        <w:rPr>
          <w:rFonts w:ascii="Verdana" w:hAnsi="Verdana" w:cs="Arial-BoldMT" w:eastAsiaTheme="minorHAnsi"/>
          <w:sz w:val="22"/>
          <w:szCs w:val="22"/>
          <w:u w:val="single"/>
          <w:lang w:val="en-GB"/>
        </w:rPr>
        <w:t>THE CODE</w:t>
      </w:r>
    </w:p>
    <w:p w:rsidRPr="008446C6" w:rsidR="00F91AEB" w:rsidP="00780A70" w:rsidRDefault="00F91AEB" w14:paraId="52BB0E12" w14:textId="77777777">
      <w:pPr>
        <w:pStyle w:val="ListParagraph"/>
        <w:numPr>
          <w:ilvl w:val="0"/>
          <w:numId w:val="21"/>
        </w:numPr>
        <w:autoSpaceDE w:val="0"/>
        <w:autoSpaceDN w:val="0"/>
        <w:adjustRightInd w:val="0"/>
        <w:ind w:left="993"/>
        <w:rPr>
          <w:rFonts w:ascii="Verdana" w:hAnsi="Verdana" w:cs="ArialMT" w:eastAsiaTheme="minorHAnsi"/>
          <w:sz w:val="22"/>
          <w:szCs w:val="22"/>
          <w:lang w:val="en-GB"/>
        </w:rPr>
      </w:pPr>
      <w:r w:rsidRPr="008446C6">
        <w:rPr>
          <w:rFonts w:ascii="Verdana" w:hAnsi="Verdana" w:cs="ArialMT" w:eastAsiaTheme="minorHAnsi"/>
          <w:sz w:val="22"/>
          <w:szCs w:val="22"/>
          <w:lang w:val="en-GB"/>
        </w:rPr>
        <w:t>Mirroring current roadside legislation, there shall be no moving images, animation, video or full motion images displayed unless consent has been granted for such displays.</w:t>
      </w:r>
    </w:p>
    <w:p w:rsidRPr="008446C6" w:rsidR="00F91AEB" w:rsidP="00780A70" w:rsidRDefault="00F91AEB" w14:paraId="52BB0E13" w14:textId="77777777">
      <w:pPr>
        <w:pStyle w:val="ListParagraph"/>
        <w:numPr>
          <w:ilvl w:val="0"/>
          <w:numId w:val="21"/>
        </w:numPr>
        <w:autoSpaceDE w:val="0"/>
        <w:autoSpaceDN w:val="0"/>
        <w:adjustRightInd w:val="0"/>
        <w:ind w:left="993"/>
        <w:rPr>
          <w:rFonts w:ascii="Verdana" w:hAnsi="Verdana" w:cs="ArialMT" w:eastAsiaTheme="minorHAnsi"/>
          <w:sz w:val="22"/>
          <w:szCs w:val="22"/>
          <w:lang w:val="en-GB"/>
        </w:rPr>
      </w:pPr>
      <w:r w:rsidRPr="008446C6">
        <w:rPr>
          <w:rFonts w:ascii="Verdana" w:hAnsi="Verdana" w:cs="ArialMT" w:eastAsiaTheme="minorHAnsi"/>
          <w:sz w:val="22"/>
          <w:szCs w:val="22"/>
          <w:lang w:val="en-GB"/>
        </w:rPr>
        <w:t>The advertising copy on digital roadside billboards should not change more frequently than every 5 seconds unless consent has been granted for such displays.</w:t>
      </w:r>
    </w:p>
    <w:p w:rsidRPr="008446C6" w:rsidR="00F91AEB" w:rsidP="00780A70" w:rsidRDefault="00F91AEB" w14:paraId="52BB0E14" w14:textId="77777777">
      <w:pPr>
        <w:pStyle w:val="ListParagraph"/>
        <w:numPr>
          <w:ilvl w:val="0"/>
          <w:numId w:val="21"/>
        </w:numPr>
        <w:autoSpaceDE w:val="0"/>
        <w:autoSpaceDN w:val="0"/>
        <w:adjustRightInd w:val="0"/>
        <w:ind w:left="993"/>
        <w:rPr>
          <w:rFonts w:ascii="Verdana" w:hAnsi="Verdana" w:cs="ArialMT" w:eastAsiaTheme="minorHAnsi"/>
          <w:sz w:val="22"/>
          <w:szCs w:val="22"/>
          <w:lang w:val="en-GB"/>
        </w:rPr>
      </w:pPr>
      <w:r w:rsidRPr="008446C6">
        <w:rPr>
          <w:rFonts w:ascii="Verdana" w:hAnsi="Verdana" w:cs="ArialMT" w:eastAsiaTheme="minorHAnsi"/>
          <w:sz w:val="22"/>
          <w:szCs w:val="22"/>
          <w:lang w:val="en-GB"/>
        </w:rPr>
        <w:t>The luminance level of a digital roadside billboard shall comply with the Institute of Lighting Engineers Technical Report no 5 (2003).</w:t>
      </w:r>
    </w:p>
    <w:p w:rsidRPr="008446C6" w:rsidR="00F91AEB" w:rsidP="00780A70" w:rsidRDefault="00F91AEB" w14:paraId="52BB0E15" w14:textId="77777777">
      <w:pPr>
        <w:pStyle w:val="ListParagraph"/>
        <w:numPr>
          <w:ilvl w:val="0"/>
          <w:numId w:val="21"/>
        </w:numPr>
        <w:autoSpaceDE w:val="0"/>
        <w:autoSpaceDN w:val="0"/>
        <w:adjustRightInd w:val="0"/>
        <w:ind w:left="993"/>
        <w:rPr>
          <w:rFonts w:ascii="Verdana" w:hAnsi="Verdana"/>
          <w:color w:val="000000" w:themeColor="text1"/>
          <w:sz w:val="22"/>
          <w:szCs w:val="22"/>
        </w:rPr>
      </w:pPr>
      <w:r w:rsidRPr="008446C6">
        <w:rPr>
          <w:rFonts w:ascii="Verdana" w:hAnsi="Verdana" w:cs="ArialMT" w:eastAsiaTheme="minorHAnsi"/>
          <w:sz w:val="22"/>
          <w:szCs w:val="22"/>
          <w:lang w:val="en-GB"/>
        </w:rPr>
        <w:t>Roadside digital displays in England will conform to the five 'Standard Conditions' specified in Schedule 2 of The Town and Country Planning (Control of Advertisements) (England) Regulations 2007, in Wales in Schedule 1 of The Town and Country Planning (Control of Advertisements) Regulations 1992, in Scotland in Schedule 1 of The Town and Country Planning (Control of Advertisements) (Scotland) Regulations 1984, and in Northern Ireland in Schedule 1 of The Planning (Control of Advertisements) Regulations (Northern Ireland) 1992.”</w:t>
      </w:r>
    </w:p>
    <w:p w:rsidRPr="0073364D" w:rsidR="00F91AEB" w:rsidP="004B0981" w:rsidRDefault="00F91AEB" w14:paraId="52BB0E16" w14:textId="77777777">
      <w:pPr>
        <w:rPr>
          <w:rFonts w:ascii="Verdana" w:hAnsi="Verdana"/>
          <w:color w:val="000000" w:themeColor="text1"/>
          <w:sz w:val="22"/>
          <w:szCs w:val="22"/>
        </w:rPr>
      </w:pPr>
    </w:p>
    <w:p w:rsidRPr="0073364D" w:rsidR="006F2B22" w:rsidP="00780A70" w:rsidRDefault="00BE5EF8" w14:paraId="52BB0E17" w14:textId="0B08AF1F">
      <w:pPr>
        <w:ind w:left="567" w:hanging="567"/>
        <w:jc w:val="both"/>
        <w:rPr>
          <w:rFonts w:ascii="Verdana" w:hAnsi="Verdana"/>
          <w:color w:val="000000" w:themeColor="text1"/>
          <w:sz w:val="22"/>
          <w:szCs w:val="22"/>
        </w:rPr>
      </w:pPr>
      <w:r>
        <w:rPr>
          <w:rFonts w:ascii="Verdana" w:hAnsi="Verdana"/>
          <w:color w:val="000000" w:themeColor="text1"/>
          <w:sz w:val="22"/>
          <w:szCs w:val="22"/>
        </w:rPr>
        <w:t>4</w:t>
      </w:r>
      <w:r w:rsidRPr="0073364D" w:rsidR="00B110B2">
        <w:rPr>
          <w:rFonts w:ascii="Verdana" w:hAnsi="Verdana"/>
          <w:color w:val="000000" w:themeColor="text1"/>
          <w:sz w:val="22"/>
          <w:szCs w:val="22"/>
        </w:rPr>
        <w:t>.6</w:t>
      </w:r>
      <w:r w:rsidRPr="0073364D" w:rsidR="00B110B2">
        <w:rPr>
          <w:rFonts w:ascii="Verdana" w:hAnsi="Verdana"/>
          <w:color w:val="000000" w:themeColor="text1"/>
          <w:sz w:val="22"/>
          <w:szCs w:val="22"/>
        </w:rPr>
        <w:tab/>
      </w:r>
      <w:r w:rsidRPr="0073364D" w:rsidR="006F2B22">
        <w:rPr>
          <w:rFonts w:ascii="Verdana" w:hAnsi="Verdana"/>
          <w:color w:val="000000" w:themeColor="text1"/>
          <w:sz w:val="22"/>
          <w:szCs w:val="22"/>
        </w:rPr>
        <w:t xml:space="preserve">The above </w:t>
      </w:r>
      <w:proofErr w:type="spellStart"/>
      <w:r w:rsidRPr="0073364D" w:rsidR="006F2B22">
        <w:rPr>
          <w:rFonts w:ascii="Verdana" w:hAnsi="Verdana"/>
          <w:color w:val="000000" w:themeColor="text1"/>
          <w:sz w:val="22"/>
          <w:szCs w:val="22"/>
        </w:rPr>
        <w:t>TfL</w:t>
      </w:r>
      <w:proofErr w:type="spellEnd"/>
      <w:r w:rsidRPr="0073364D" w:rsidR="006F2B22">
        <w:rPr>
          <w:rFonts w:ascii="Verdana" w:hAnsi="Verdana"/>
          <w:color w:val="000000" w:themeColor="text1"/>
          <w:sz w:val="22"/>
          <w:szCs w:val="22"/>
        </w:rPr>
        <w:t xml:space="preserve"> Guidance takes a pragmatic approach to proposed roadside digital advertis</w:t>
      </w:r>
      <w:r w:rsidRPr="0073364D" w:rsidR="004B0981">
        <w:rPr>
          <w:rFonts w:ascii="Verdana" w:hAnsi="Verdana"/>
          <w:color w:val="000000" w:themeColor="text1"/>
          <w:sz w:val="22"/>
          <w:szCs w:val="22"/>
        </w:rPr>
        <w:t>ing</w:t>
      </w:r>
      <w:r w:rsidRPr="0073364D" w:rsidR="00282BA9">
        <w:rPr>
          <w:rFonts w:ascii="Verdana" w:hAnsi="Verdana"/>
          <w:color w:val="000000" w:themeColor="text1"/>
          <w:sz w:val="22"/>
          <w:szCs w:val="22"/>
        </w:rPr>
        <w:t xml:space="preserve"> </w:t>
      </w:r>
      <w:r w:rsidRPr="0073364D" w:rsidR="006F2B22">
        <w:rPr>
          <w:rFonts w:ascii="Verdana" w:hAnsi="Verdana"/>
          <w:color w:val="000000" w:themeColor="text1"/>
          <w:sz w:val="22"/>
          <w:szCs w:val="22"/>
        </w:rPr>
        <w:t>displays, stating that static digital advertising (which is proposed in this case) is likely to be acceptable in locations where static advertising exists or would be accepted</w:t>
      </w:r>
      <w:r w:rsidR="00E539BB">
        <w:rPr>
          <w:rFonts w:ascii="Verdana" w:hAnsi="Verdana"/>
          <w:color w:val="000000" w:themeColor="text1"/>
          <w:sz w:val="22"/>
          <w:szCs w:val="22"/>
        </w:rPr>
        <w:t>,</w:t>
      </w:r>
      <w:r w:rsidRPr="0073364D" w:rsidR="006F2B22">
        <w:rPr>
          <w:rFonts w:ascii="Verdana" w:hAnsi="Verdana"/>
          <w:color w:val="000000" w:themeColor="text1"/>
          <w:sz w:val="22"/>
          <w:szCs w:val="22"/>
        </w:rPr>
        <w:t xml:space="preserve"> and that with appropriate controls digital advertising should be no less acceptable than traditional forms of advertising</w:t>
      </w:r>
      <w:r w:rsidRPr="0073364D" w:rsidR="00CC66B3">
        <w:rPr>
          <w:rFonts w:ascii="Verdana" w:hAnsi="Verdana"/>
          <w:color w:val="000000" w:themeColor="text1"/>
          <w:sz w:val="22"/>
          <w:szCs w:val="22"/>
        </w:rPr>
        <w:t>,</w:t>
      </w:r>
      <w:r w:rsidRPr="0073364D" w:rsidR="006F2B22">
        <w:rPr>
          <w:rFonts w:ascii="Verdana" w:hAnsi="Verdana"/>
          <w:color w:val="000000" w:themeColor="text1"/>
          <w:sz w:val="22"/>
          <w:szCs w:val="22"/>
        </w:rPr>
        <w:t xml:space="preserve"> i</w:t>
      </w:r>
      <w:r w:rsidRPr="0073364D" w:rsidR="00BD58DC">
        <w:rPr>
          <w:rFonts w:ascii="Verdana" w:hAnsi="Verdana"/>
          <w:color w:val="000000" w:themeColor="text1"/>
          <w:sz w:val="22"/>
          <w:szCs w:val="22"/>
        </w:rPr>
        <w:t xml:space="preserve">ncluding </w:t>
      </w:r>
      <w:r w:rsidRPr="0073364D" w:rsidR="006F2B22">
        <w:rPr>
          <w:rFonts w:ascii="Verdana" w:hAnsi="Verdana"/>
          <w:color w:val="000000" w:themeColor="text1"/>
          <w:sz w:val="22"/>
          <w:szCs w:val="22"/>
        </w:rPr>
        <w:t>backlit</w:t>
      </w:r>
      <w:r w:rsidRPr="0073364D" w:rsidR="0077406E">
        <w:rPr>
          <w:rFonts w:ascii="Verdana" w:hAnsi="Verdana"/>
          <w:color w:val="000000" w:themeColor="text1"/>
          <w:sz w:val="22"/>
          <w:szCs w:val="22"/>
        </w:rPr>
        <w:t xml:space="preserve"> </w:t>
      </w:r>
      <w:r w:rsidR="00175EA1">
        <w:rPr>
          <w:rFonts w:ascii="Verdana" w:hAnsi="Verdana"/>
          <w:color w:val="000000" w:themeColor="text1"/>
          <w:sz w:val="22"/>
          <w:szCs w:val="22"/>
        </w:rPr>
        <w:t>/</w:t>
      </w:r>
      <w:r w:rsidRPr="0073364D" w:rsidR="0077406E">
        <w:rPr>
          <w:rFonts w:ascii="Verdana" w:hAnsi="Verdana"/>
          <w:color w:val="000000" w:themeColor="text1"/>
          <w:sz w:val="22"/>
          <w:szCs w:val="22"/>
        </w:rPr>
        <w:t xml:space="preserve"> </w:t>
      </w:r>
      <w:r w:rsidRPr="0073364D" w:rsidR="00BD58DC">
        <w:rPr>
          <w:rFonts w:ascii="Verdana" w:hAnsi="Verdana"/>
          <w:color w:val="000000" w:themeColor="text1"/>
          <w:sz w:val="22"/>
          <w:szCs w:val="22"/>
        </w:rPr>
        <w:t>internally illuminated displays</w:t>
      </w:r>
      <w:r w:rsidRPr="0073364D" w:rsidR="006F2B22">
        <w:rPr>
          <w:rFonts w:ascii="Verdana" w:hAnsi="Verdana"/>
          <w:color w:val="000000" w:themeColor="text1"/>
          <w:sz w:val="22"/>
          <w:szCs w:val="22"/>
        </w:rPr>
        <w:t>.</w:t>
      </w:r>
    </w:p>
    <w:p w:rsidRPr="0073364D" w:rsidR="00DF08A2" w:rsidP="00780A70" w:rsidRDefault="00DF08A2" w14:paraId="52BB0E18" w14:textId="21DCF62E">
      <w:pPr>
        <w:ind w:left="567" w:hanging="567"/>
        <w:jc w:val="both"/>
        <w:rPr>
          <w:rFonts w:ascii="Verdana" w:hAnsi="Verdana"/>
          <w:color w:val="000000" w:themeColor="text1"/>
          <w:sz w:val="22"/>
          <w:szCs w:val="22"/>
        </w:rPr>
      </w:pPr>
    </w:p>
    <w:p w:rsidRPr="0073364D" w:rsidR="00FA6A60" w:rsidP="00780A70" w:rsidRDefault="00FA6A60" w14:paraId="4FDDD304" w14:textId="77777777">
      <w:pPr>
        <w:ind w:left="567" w:hanging="567"/>
        <w:jc w:val="both"/>
        <w:rPr>
          <w:rFonts w:ascii="Verdana" w:hAnsi="Verdana"/>
          <w:color w:val="000000" w:themeColor="text1"/>
          <w:sz w:val="22"/>
          <w:szCs w:val="22"/>
        </w:rPr>
      </w:pPr>
    </w:p>
    <w:p w:rsidRPr="0073364D" w:rsidR="004970A8" w:rsidP="00780A70" w:rsidRDefault="00BE5EF8" w14:paraId="397E237C" w14:textId="220C8947">
      <w:pPr>
        <w:ind w:left="567" w:hanging="567"/>
        <w:jc w:val="both"/>
        <w:rPr>
          <w:rFonts w:ascii="Verdana" w:hAnsi="Verdana" w:cstheme="minorHAnsi"/>
          <w:b/>
          <w:bCs/>
          <w:color w:val="000000" w:themeColor="text1"/>
          <w:sz w:val="22"/>
          <w:szCs w:val="22"/>
        </w:rPr>
      </w:pPr>
      <w:r>
        <w:rPr>
          <w:rFonts w:ascii="Verdana" w:hAnsi="Verdana" w:cstheme="minorHAnsi"/>
          <w:b/>
          <w:bCs/>
          <w:color w:val="000000" w:themeColor="text1"/>
          <w:sz w:val="22"/>
          <w:szCs w:val="22"/>
        </w:rPr>
        <w:t>5</w:t>
      </w:r>
      <w:r w:rsidRPr="0073364D" w:rsidR="00ED026B">
        <w:rPr>
          <w:rFonts w:ascii="Verdana" w:hAnsi="Verdana" w:cstheme="minorHAnsi"/>
          <w:b/>
          <w:bCs/>
          <w:color w:val="000000" w:themeColor="text1"/>
          <w:sz w:val="22"/>
          <w:szCs w:val="22"/>
        </w:rPr>
        <w:t>.</w:t>
      </w:r>
      <w:r w:rsidRPr="0073364D" w:rsidR="00ED026B">
        <w:rPr>
          <w:rFonts w:ascii="Verdana" w:hAnsi="Verdana" w:cstheme="minorHAnsi"/>
          <w:b/>
          <w:bCs/>
          <w:color w:val="000000" w:themeColor="text1"/>
          <w:sz w:val="22"/>
          <w:szCs w:val="22"/>
        </w:rPr>
        <w:tab/>
      </w:r>
      <w:r w:rsidRPr="00175EA1">
        <w:rPr>
          <w:rFonts w:ascii="Verdana" w:hAnsi="Verdana" w:cstheme="minorHAnsi"/>
          <w:b/>
          <w:bCs/>
          <w:color w:val="000000" w:themeColor="text1"/>
          <w:sz w:val="22"/>
          <w:szCs w:val="22"/>
        </w:rPr>
        <w:t>LUMINANCE CONDITIONS</w:t>
      </w:r>
    </w:p>
    <w:p w:rsidRPr="0073364D" w:rsidR="002E0823" w:rsidP="00780A70" w:rsidRDefault="002E0823" w14:paraId="52BB0E2D" w14:textId="598EBDEC">
      <w:pPr>
        <w:ind w:left="567" w:hanging="567"/>
        <w:jc w:val="both"/>
        <w:rPr>
          <w:rFonts w:ascii="Verdana" w:hAnsi="Verdana" w:cstheme="minorHAnsi"/>
          <w:color w:val="000000" w:themeColor="text1"/>
          <w:sz w:val="22"/>
          <w:szCs w:val="22"/>
        </w:rPr>
      </w:pPr>
    </w:p>
    <w:p w:rsidRPr="0073364D" w:rsidR="0044057B" w:rsidP="0044057B" w:rsidRDefault="0044057B" w14:paraId="0D35964E" w14:textId="75D2241B">
      <w:pPr>
        <w:pStyle w:val="NoSpacing"/>
        <w:ind w:left="567" w:hanging="567"/>
        <w:jc w:val="both"/>
        <w:rPr>
          <w:rFonts w:ascii="Verdana" w:hAnsi="Verdana" w:cstheme="minorHAnsi"/>
          <w:sz w:val="22"/>
          <w:szCs w:val="22"/>
        </w:rPr>
      </w:pPr>
      <w:r>
        <w:rPr>
          <w:rFonts w:ascii="Verdana" w:hAnsi="Verdana" w:cstheme="minorHAnsi"/>
          <w:sz w:val="22"/>
          <w:szCs w:val="22"/>
        </w:rPr>
        <w:t>5</w:t>
      </w:r>
      <w:r w:rsidRPr="0073364D">
        <w:rPr>
          <w:rFonts w:ascii="Verdana" w:hAnsi="Verdana" w:cstheme="minorHAnsi"/>
          <w:sz w:val="22"/>
          <w:szCs w:val="22"/>
        </w:rPr>
        <w:t>.1</w:t>
      </w:r>
      <w:r w:rsidRPr="0073364D">
        <w:rPr>
          <w:rFonts w:ascii="Verdana" w:hAnsi="Verdana" w:cstheme="minorHAnsi"/>
          <w:sz w:val="22"/>
          <w:szCs w:val="22"/>
        </w:rPr>
        <w:tab/>
      </w:r>
      <w:r w:rsidRPr="0073364D">
        <w:rPr>
          <w:rFonts w:ascii="Verdana" w:hAnsi="Verdana" w:cstheme="minorHAnsi"/>
          <w:sz w:val="22"/>
          <w:szCs w:val="22"/>
        </w:rPr>
        <w:t xml:space="preserve">The </w:t>
      </w:r>
      <w:r w:rsidR="00F51AFE">
        <w:rPr>
          <w:rFonts w:ascii="Verdana" w:hAnsi="Verdana" w:cstheme="minorHAnsi"/>
          <w:sz w:val="22"/>
          <w:szCs w:val="22"/>
        </w:rPr>
        <w:t xml:space="preserve">proposed </w:t>
      </w:r>
      <w:r>
        <w:rPr>
          <w:rFonts w:ascii="Verdana" w:hAnsi="Verdana" w:cstheme="minorHAnsi"/>
          <w:sz w:val="22"/>
          <w:szCs w:val="22"/>
        </w:rPr>
        <w:t xml:space="preserve">replacement </w:t>
      </w:r>
      <w:r w:rsidR="0098732B">
        <w:rPr>
          <w:rFonts w:ascii="Verdana" w:hAnsi="Verdana" w:cstheme="minorHAnsi"/>
          <w:sz w:val="22"/>
          <w:szCs w:val="22"/>
        </w:rPr>
        <w:t xml:space="preserve">Digital </w:t>
      </w:r>
      <w:r w:rsidR="00B52A11">
        <w:rPr>
          <w:rFonts w:ascii="Verdana" w:hAnsi="Verdana" w:cstheme="minorHAnsi"/>
          <w:sz w:val="22"/>
          <w:szCs w:val="22"/>
        </w:rPr>
        <w:t>displays</w:t>
      </w:r>
      <w:r>
        <w:rPr>
          <w:rFonts w:ascii="Verdana" w:hAnsi="Verdana" w:cstheme="minorHAnsi"/>
          <w:sz w:val="22"/>
          <w:szCs w:val="22"/>
        </w:rPr>
        <w:t xml:space="preserve"> </w:t>
      </w:r>
      <w:r w:rsidRPr="0073364D">
        <w:rPr>
          <w:rFonts w:ascii="Verdana" w:hAnsi="Verdana" w:cstheme="minorHAnsi"/>
          <w:sz w:val="22"/>
          <w:szCs w:val="22"/>
        </w:rPr>
        <w:t xml:space="preserve">would operate in </w:t>
      </w:r>
      <w:r w:rsidR="00B52A11">
        <w:rPr>
          <w:rFonts w:ascii="Verdana" w:hAnsi="Verdana" w:cstheme="minorHAnsi"/>
          <w:sz w:val="22"/>
          <w:szCs w:val="22"/>
        </w:rPr>
        <w:t xml:space="preserve">full </w:t>
      </w:r>
      <w:r w:rsidRPr="0073364D">
        <w:rPr>
          <w:rFonts w:ascii="Verdana" w:hAnsi="Verdana" w:cstheme="minorHAnsi"/>
          <w:sz w:val="22"/>
          <w:szCs w:val="22"/>
        </w:rPr>
        <w:t xml:space="preserve">accordance with recommendations </w:t>
      </w:r>
      <w:r w:rsidR="00B13297">
        <w:rPr>
          <w:rFonts w:ascii="Verdana" w:hAnsi="Verdana" w:cstheme="minorHAnsi"/>
          <w:sz w:val="22"/>
          <w:szCs w:val="22"/>
        </w:rPr>
        <w:t xml:space="preserve">within </w:t>
      </w:r>
      <w:r w:rsidRPr="0073364D">
        <w:rPr>
          <w:rFonts w:ascii="Verdana" w:hAnsi="Verdana" w:cstheme="minorHAnsi"/>
          <w:sz w:val="22"/>
          <w:szCs w:val="22"/>
        </w:rPr>
        <w:t xml:space="preserve">the </w:t>
      </w:r>
      <w:r w:rsidRPr="0073364D">
        <w:rPr>
          <w:rFonts w:ascii="Verdana" w:hAnsi="Verdana" w:cstheme="minorHAnsi"/>
          <w:color w:val="000000"/>
          <w:sz w:val="22"/>
          <w:szCs w:val="22"/>
        </w:rPr>
        <w:t xml:space="preserve">authority document </w:t>
      </w:r>
      <w:r w:rsidR="00B13297">
        <w:rPr>
          <w:rFonts w:ascii="Verdana" w:hAnsi="Verdana" w:cstheme="minorHAnsi"/>
          <w:color w:val="000000"/>
          <w:sz w:val="22"/>
          <w:szCs w:val="22"/>
        </w:rPr>
        <w:t>on</w:t>
      </w:r>
      <w:r w:rsidRPr="0073364D">
        <w:rPr>
          <w:rFonts w:ascii="Verdana" w:hAnsi="Verdana" w:cstheme="minorHAnsi"/>
          <w:color w:val="000000"/>
          <w:sz w:val="22"/>
          <w:szCs w:val="22"/>
        </w:rPr>
        <w:t xml:space="preserve"> illuminated advertisements, namely</w:t>
      </w:r>
      <w:r w:rsidRPr="0073364D">
        <w:rPr>
          <w:rFonts w:ascii="Verdana" w:hAnsi="Verdana" w:cstheme="minorHAnsi"/>
          <w:sz w:val="22"/>
          <w:szCs w:val="22"/>
        </w:rPr>
        <w:t xml:space="preserve"> ‘The Brightness of Illuminated Advertisements’ PLG05 2015</w:t>
      </w:r>
      <w:r>
        <w:rPr>
          <w:rFonts w:ascii="Verdana" w:hAnsi="Verdana" w:cstheme="minorHAnsi"/>
          <w:sz w:val="22"/>
          <w:szCs w:val="22"/>
        </w:rPr>
        <w:t>,</w:t>
      </w:r>
      <w:r w:rsidRPr="0073364D">
        <w:rPr>
          <w:rFonts w:ascii="Verdana" w:hAnsi="Verdana" w:cstheme="minorHAnsi"/>
          <w:color w:val="000000"/>
          <w:sz w:val="22"/>
          <w:szCs w:val="22"/>
        </w:rPr>
        <w:t xml:space="preserve"> issued by the </w:t>
      </w:r>
      <w:r w:rsidRPr="0073364D">
        <w:rPr>
          <w:rFonts w:ascii="Verdana" w:hAnsi="Verdana" w:cstheme="minorHAnsi"/>
          <w:sz w:val="22"/>
          <w:szCs w:val="22"/>
        </w:rPr>
        <w:t>Institute of Lighting Professionals.</w:t>
      </w:r>
    </w:p>
    <w:p w:rsidRPr="0073364D" w:rsidR="0044057B" w:rsidP="0044057B" w:rsidRDefault="0044057B" w14:paraId="5BD3F943" w14:textId="77777777">
      <w:pPr>
        <w:pStyle w:val="NoSpacing"/>
        <w:ind w:left="567" w:hanging="567"/>
        <w:jc w:val="both"/>
        <w:rPr>
          <w:rFonts w:ascii="Verdana" w:hAnsi="Verdana" w:cstheme="minorHAnsi"/>
          <w:sz w:val="22"/>
          <w:szCs w:val="22"/>
        </w:rPr>
      </w:pPr>
    </w:p>
    <w:p w:rsidRPr="0073364D" w:rsidR="0044057B" w:rsidP="0044057B" w:rsidRDefault="0044057B" w14:paraId="6E0E71C1" w14:textId="0F122020">
      <w:pPr>
        <w:autoSpaceDE w:val="0"/>
        <w:autoSpaceDN w:val="0"/>
        <w:adjustRightInd w:val="0"/>
        <w:ind w:left="567" w:hanging="567"/>
        <w:jc w:val="both"/>
        <w:rPr>
          <w:rFonts w:ascii="Verdana" w:hAnsi="Verdana" w:cstheme="minorHAnsi"/>
          <w:color w:val="000000"/>
          <w:sz w:val="22"/>
          <w:szCs w:val="22"/>
        </w:rPr>
      </w:pPr>
      <w:r>
        <w:rPr>
          <w:rFonts w:ascii="Verdana" w:hAnsi="Verdana" w:cstheme="minorHAnsi"/>
          <w:color w:val="000000"/>
          <w:sz w:val="22"/>
          <w:szCs w:val="22"/>
        </w:rPr>
        <w:t>5</w:t>
      </w:r>
      <w:r w:rsidRPr="0073364D">
        <w:rPr>
          <w:rFonts w:ascii="Verdana" w:hAnsi="Verdana" w:cstheme="minorHAnsi"/>
          <w:color w:val="000000"/>
          <w:sz w:val="22"/>
          <w:szCs w:val="22"/>
        </w:rPr>
        <w:t>.2</w:t>
      </w:r>
      <w:r w:rsidRPr="0073364D">
        <w:rPr>
          <w:rFonts w:ascii="Verdana" w:hAnsi="Verdana" w:cstheme="minorHAnsi"/>
          <w:color w:val="000000"/>
          <w:sz w:val="22"/>
          <w:szCs w:val="22"/>
        </w:rPr>
        <w:tab/>
      </w:r>
      <w:r w:rsidRPr="003952B1">
        <w:rPr>
          <w:rFonts w:ascii="Verdana" w:hAnsi="Verdana" w:cstheme="minorHAnsi"/>
          <w:color w:val="000000"/>
          <w:sz w:val="22"/>
          <w:szCs w:val="22"/>
        </w:rPr>
        <w:t>As noted</w:t>
      </w:r>
      <w:r>
        <w:rPr>
          <w:rFonts w:ascii="Verdana" w:hAnsi="Verdana" w:cstheme="minorHAnsi"/>
          <w:color w:val="000000"/>
          <w:sz w:val="22"/>
          <w:szCs w:val="22"/>
        </w:rPr>
        <w:t xml:space="preserve"> earlier, t</w:t>
      </w:r>
      <w:r w:rsidRPr="00941CA6">
        <w:rPr>
          <w:rFonts w:ascii="Verdana" w:hAnsi="Verdana"/>
          <w:sz w:val="22"/>
          <w:szCs w:val="22"/>
          <w:lang w:eastAsia="en-GB"/>
        </w:rPr>
        <w:t xml:space="preserve">he </w:t>
      </w:r>
      <w:r w:rsidR="00EF220B">
        <w:rPr>
          <w:rFonts w:ascii="Verdana" w:hAnsi="Verdana"/>
          <w:sz w:val="22"/>
          <w:szCs w:val="22"/>
          <w:lang w:eastAsia="en-GB"/>
        </w:rPr>
        <w:t>replacement</w:t>
      </w:r>
      <w:r>
        <w:rPr>
          <w:rFonts w:ascii="Verdana" w:hAnsi="Verdana"/>
          <w:sz w:val="22"/>
          <w:szCs w:val="22"/>
        </w:rPr>
        <w:t xml:space="preserve"> </w:t>
      </w:r>
      <w:r w:rsidRPr="00941CA6">
        <w:rPr>
          <w:rFonts w:ascii="Verdana" w:hAnsi="Verdana"/>
          <w:sz w:val="22"/>
          <w:szCs w:val="22"/>
          <w:lang w:eastAsia="en-GB"/>
        </w:rPr>
        <w:t xml:space="preserve">displays </w:t>
      </w:r>
      <w:r>
        <w:rPr>
          <w:rFonts w:ascii="Verdana" w:hAnsi="Verdana"/>
          <w:sz w:val="22"/>
          <w:szCs w:val="22"/>
          <w:lang w:eastAsia="en-GB"/>
        </w:rPr>
        <w:t xml:space="preserve">have </w:t>
      </w:r>
      <w:r w:rsidRPr="00941CA6">
        <w:rPr>
          <w:rFonts w:ascii="Verdana" w:hAnsi="Verdana"/>
          <w:sz w:val="22"/>
          <w:szCs w:val="22"/>
          <w:lang w:eastAsia="en-GB"/>
        </w:rPr>
        <w:t xml:space="preserve">an in-built sensor </w:t>
      </w:r>
      <w:r>
        <w:rPr>
          <w:rFonts w:ascii="Verdana" w:hAnsi="Verdana"/>
          <w:sz w:val="22"/>
          <w:szCs w:val="22"/>
          <w:lang w:eastAsia="en-GB"/>
        </w:rPr>
        <w:t xml:space="preserve">system </w:t>
      </w:r>
      <w:r w:rsidRPr="00941CA6">
        <w:rPr>
          <w:rFonts w:ascii="Verdana" w:hAnsi="Verdana"/>
          <w:sz w:val="22"/>
          <w:szCs w:val="22"/>
          <w:lang w:eastAsia="en-GB"/>
        </w:rPr>
        <w:t xml:space="preserve">which </w:t>
      </w:r>
      <w:r>
        <w:rPr>
          <w:rFonts w:ascii="Verdana" w:hAnsi="Verdana"/>
          <w:sz w:val="22"/>
          <w:szCs w:val="22"/>
          <w:lang w:eastAsia="en-GB"/>
        </w:rPr>
        <w:t>reads</w:t>
      </w:r>
      <w:r w:rsidRPr="005767C8">
        <w:rPr>
          <w:rFonts w:ascii="Verdana" w:hAnsi="Verdana"/>
          <w:color w:val="000000"/>
          <w:sz w:val="22"/>
          <w:szCs w:val="22"/>
        </w:rPr>
        <w:t xml:space="preserve"> </w:t>
      </w:r>
      <w:r>
        <w:rPr>
          <w:rFonts w:ascii="Verdana" w:hAnsi="Verdana"/>
          <w:color w:val="000000"/>
          <w:sz w:val="22"/>
          <w:szCs w:val="22"/>
        </w:rPr>
        <w:t xml:space="preserve">the </w:t>
      </w:r>
      <w:r w:rsidRPr="005767C8">
        <w:rPr>
          <w:rFonts w:ascii="Verdana" w:hAnsi="Verdana"/>
          <w:color w:val="000000"/>
          <w:sz w:val="22"/>
          <w:szCs w:val="22"/>
        </w:rPr>
        <w:t>ambient light</w:t>
      </w:r>
      <w:r>
        <w:rPr>
          <w:rFonts w:ascii="Verdana" w:hAnsi="Verdana"/>
          <w:color w:val="000000"/>
          <w:sz w:val="22"/>
          <w:szCs w:val="22"/>
        </w:rPr>
        <w:t xml:space="preserve"> level and </w:t>
      </w:r>
      <w:r w:rsidRPr="00941CA6">
        <w:rPr>
          <w:rFonts w:ascii="Verdana" w:hAnsi="Verdana"/>
          <w:sz w:val="22"/>
          <w:szCs w:val="22"/>
          <w:lang w:eastAsia="en-GB"/>
        </w:rPr>
        <w:t>ad</w:t>
      </w:r>
      <w:r>
        <w:rPr>
          <w:rFonts w:ascii="Verdana" w:hAnsi="Verdana"/>
          <w:sz w:val="22"/>
          <w:szCs w:val="22"/>
          <w:lang w:eastAsia="en-GB"/>
        </w:rPr>
        <w:t>justs the display luminance</w:t>
      </w:r>
      <w:r w:rsidRPr="00941CA6">
        <w:rPr>
          <w:rFonts w:ascii="Verdana" w:hAnsi="Verdana"/>
          <w:sz w:val="22"/>
          <w:szCs w:val="22"/>
          <w:lang w:eastAsia="en-GB"/>
        </w:rPr>
        <w:t xml:space="preserve"> to </w:t>
      </w:r>
      <w:r>
        <w:rPr>
          <w:rFonts w:ascii="Verdana" w:hAnsi="Verdana"/>
          <w:sz w:val="22"/>
          <w:szCs w:val="22"/>
          <w:lang w:eastAsia="en-GB"/>
        </w:rPr>
        <w:t xml:space="preserve">that </w:t>
      </w:r>
      <w:r w:rsidRPr="00941CA6">
        <w:rPr>
          <w:rFonts w:ascii="Verdana" w:hAnsi="Verdana"/>
          <w:sz w:val="22"/>
          <w:szCs w:val="22"/>
          <w:lang w:eastAsia="en-GB"/>
        </w:rPr>
        <w:t>level.</w:t>
      </w:r>
      <w:r>
        <w:rPr>
          <w:rFonts w:ascii="Verdana" w:hAnsi="Verdana"/>
          <w:sz w:val="22"/>
          <w:szCs w:val="22"/>
          <w:lang w:eastAsia="en-GB"/>
        </w:rPr>
        <w:t xml:space="preserve">  This means lower display luminance when</w:t>
      </w:r>
      <w:r w:rsidRPr="0073364D">
        <w:rPr>
          <w:rFonts w:ascii="Verdana" w:hAnsi="Verdana"/>
          <w:color w:val="000000"/>
          <w:sz w:val="22"/>
          <w:szCs w:val="22"/>
        </w:rPr>
        <w:t xml:space="preserve"> </w:t>
      </w:r>
      <w:r>
        <w:rPr>
          <w:rFonts w:ascii="Verdana" w:hAnsi="Verdana"/>
          <w:sz w:val="22"/>
          <w:szCs w:val="22"/>
        </w:rPr>
        <w:t>a</w:t>
      </w:r>
      <w:r w:rsidRPr="0073364D">
        <w:rPr>
          <w:rFonts w:ascii="Verdana" w:hAnsi="Verdana"/>
          <w:color w:val="000000"/>
          <w:sz w:val="22"/>
          <w:szCs w:val="22"/>
        </w:rPr>
        <w:t xml:space="preserve">mbient light </w:t>
      </w:r>
      <w:r>
        <w:rPr>
          <w:rFonts w:ascii="Verdana" w:hAnsi="Verdana"/>
          <w:sz w:val="22"/>
          <w:szCs w:val="22"/>
        </w:rPr>
        <w:t>levels are lower and higher display luminance when ambient light levels are higher</w:t>
      </w:r>
      <w:r w:rsidRPr="0073364D">
        <w:rPr>
          <w:rFonts w:ascii="Verdana" w:hAnsi="Verdana"/>
          <w:color w:val="000000"/>
          <w:sz w:val="22"/>
          <w:szCs w:val="22"/>
        </w:rPr>
        <w:t>.</w:t>
      </w:r>
      <w:r>
        <w:rPr>
          <w:rFonts w:ascii="Verdana" w:hAnsi="Verdana"/>
          <w:color w:val="000000"/>
          <w:sz w:val="22"/>
          <w:szCs w:val="22"/>
        </w:rPr>
        <w:t xml:space="preserve">  </w:t>
      </w:r>
      <w:r w:rsidRPr="0073364D">
        <w:rPr>
          <w:rFonts w:ascii="Verdana" w:hAnsi="Verdana" w:cstheme="minorHAnsi"/>
          <w:color w:val="000000"/>
          <w:sz w:val="22"/>
          <w:szCs w:val="22"/>
        </w:rPr>
        <w:t>During periods of darkness,</w:t>
      </w:r>
      <w:r>
        <w:rPr>
          <w:rFonts w:ascii="Verdana" w:hAnsi="Verdana" w:cstheme="minorHAnsi"/>
          <w:color w:val="000000"/>
          <w:sz w:val="22"/>
          <w:szCs w:val="22"/>
        </w:rPr>
        <w:t xml:space="preserve"> </w:t>
      </w:r>
      <w:r w:rsidRPr="00CB27DE">
        <w:rPr>
          <w:rFonts w:ascii="Verdana" w:hAnsi="Verdana"/>
          <w:color w:val="000000" w:themeColor="text1"/>
          <w:sz w:val="22"/>
          <w:szCs w:val="22"/>
        </w:rPr>
        <w:t>the displays</w:t>
      </w:r>
      <w:r>
        <w:rPr>
          <w:rFonts w:ascii="Verdana" w:hAnsi="Verdana"/>
          <w:color w:val="000000" w:themeColor="text1"/>
          <w:sz w:val="22"/>
          <w:szCs w:val="22"/>
        </w:rPr>
        <w:t xml:space="preserve"> operate </w:t>
      </w:r>
      <w:r>
        <w:rPr>
          <w:rFonts w:ascii="Verdana" w:hAnsi="Verdana" w:cstheme="minorHAnsi"/>
          <w:color w:val="000000"/>
          <w:sz w:val="22"/>
          <w:szCs w:val="22"/>
        </w:rPr>
        <w:t>at a set level whereby luminance does not exceed 30</w:t>
      </w:r>
      <w:r w:rsidRPr="0073364D">
        <w:rPr>
          <w:rFonts w:ascii="Verdana" w:hAnsi="Verdana" w:cstheme="minorHAnsi"/>
          <w:color w:val="000000"/>
          <w:sz w:val="22"/>
          <w:szCs w:val="22"/>
        </w:rPr>
        <w:t xml:space="preserve">0 </w:t>
      </w:r>
      <w:proofErr w:type="spellStart"/>
      <w:r w:rsidRPr="0073364D">
        <w:rPr>
          <w:rFonts w:ascii="Verdana" w:hAnsi="Verdana" w:cstheme="minorHAnsi"/>
          <w:color w:val="000000"/>
          <w:sz w:val="22"/>
          <w:szCs w:val="22"/>
        </w:rPr>
        <w:t>cdsq.m</w:t>
      </w:r>
      <w:proofErr w:type="spellEnd"/>
      <w:r>
        <w:rPr>
          <w:rFonts w:ascii="Verdana" w:hAnsi="Verdana" w:cstheme="minorHAnsi"/>
          <w:color w:val="000000"/>
          <w:sz w:val="22"/>
          <w:szCs w:val="22"/>
        </w:rPr>
        <w:t>,</w:t>
      </w:r>
      <w:r w:rsidRPr="0073364D">
        <w:rPr>
          <w:rFonts w:ascii="Verdana" w:hAnsi="Verdana" w:cstheme="minorHAnsi"/>
          <w:color w:val="000000"/>
          <w:sz w:val="22"/>
          <w:szCs w:val="22"/>
        </w:rPr>
        <w:t xml:space="preserve"> which is </w:t>
      </w:r>
      <w:r>
        <w:rPr>
          <w:rFonts w:ascii="Verdana" w:hAnsi="Verdana" w:cstheme="minorHAnsi"/>
          <w:color w:val="000000"/>
          <w:sz w:val="22"/>
          <w:szCs w:val="22"/>
        </w:rPr>
        <w:t xml:space="preserve">well </w:t>
      </w:r>
      <w:r w:rsidRPr="0073364D">
        <w:rPr>
          <w:rFonts w:ascii="Verdana" w:hAnsi="Verdana" w:cstheme="minorHAnsi"/>
          <w:color w:val="000000"/>
          <w:sz w:val="22"/>
          <w:szCs w:val="22"/>
        </w:rPr>
        <w:t xml:space="preserve">within the levels recommended by the Institute of Lighting Professionals.  For displays up to 10sq.m in area, in </w:t>
      </w:r>
      <w:r>
        <w:rPr>
          <w:rFonts w:ascii="Verdana" w:hAnsi="Verdana" w:cstheme="minorHAnsi"/>
          <w:color w:val="000000"/>
          <w:sz w:val="22"/>
          <w:szCs w:val="22"/>
        </w:rPr>
        <w:t>Zone E3 S</w:t>
      </w:r>
      <w:r w:rsidRPr="0073364D">
        <w:rPr>
          <w:rFonts w:ascii="Verdana" w:hAnsi="Verdana" w:cstheme="minorHAnsi"/>
          <w:color w:val="000000"/>
          <w:sz w:val="22"/>
          <w:szCs w:val="22"/>
        </w:rPr>
        <w:t xml:space="preserve">uburban and </w:t>
      </w:r>
      <w:r>
        <w:rPr>
          <w:rFonts w:ascii="Verdana" w:hAnsi="Verdana" w:cstheme="minorHAnsi"/>
          <w:color w:val="000000"/>
          <w:sz w:val="22"/>
          <w:szCs w:val="22"/>
        </w:rPr>
        <w:t>E4 U</w:t>
      </w:r>
      <w:r w:rsidRPr="0073364D">
        <w:rPr>
          <w:rFonts w:ascii="Verdana" w:hAnsi="Verdana" w:cstheme="minorHAnsi"/>
          <w:color w:val="000000"/>
          <w:sz w:val="22"/>
          <w:szCs w:val="22"/>
        </w:rPr>
        <w:t>rban areas, the maximum brightness recommend</w:t>
      </w:r>
      <w:r>
        <w:rPr>
          <w:rFonts w:ascii="Verdana" w:hAnsi="Verdana" w:cstheme="minorHAnsi"/>
          <w:color w:val="000000"/>
          <w:sz w:val="22"/>
          <w:szCs w:val="22"/>
        </w:rPr>
        <w:t>ed</w:t>
      </w:r>
      <w:r w:rsidRPr="0073364D">
        <w:rPr>
          <w:rFonts w:ascii="Verdana" w:hAnsi="Verdana" w:cstheme="minorHAnsi"/>
          <w:color w:val="000000"/>
          <w:sz w:val="22"/>
          <w:szCs w:val="22"/>
        </w:rPr>
        <w:t xml:space="preserve"> </w:t>
      </w:r>
      <w:r>
        <w:rPr>
          <w:rFonts w:ascii="Verdana" w:hAnsi="Verdana" w:cstheme="minorHAnsi"/>
          <w:color w:val="000000"/>
          <w:sz w:val="22"/>
          <w:szCs w:val="22"/>
        </w:rPr>
        <w:t xml:space="preserve">in the ILP Lighting Guide at night / in darkness </w:t>
      </w:r>
      <w:r w:rsidRPr="0073364D">
        <w:rPr>
          <w:rFonts w:ascii="Verdana" w:hAnsi="Verdana" w:cstheme="minorHAnsi"/>
          <w:color w:val="000000"/>
          <w:sz w:val="22"/>
          <w:szCs w:val="22"/>
        </w:rPr>
        <w:t xml:space="preserve">is 600 </w:t>
      </w:r>
      <w:proofErr w:type="spellStart"/>
      <w:r w:rsidRPr="0073364D">
        <w:rPr>
          <w:rFonts w:ascii="Verdana" w:hAnsi="Verdana" w:cstheme="minorHAnsi"/>
          <w:color w:val="000000"/>
          <w:sz w:val="22"/>
          <w:szCs w:val="22"/>
        </w:rPr>
        <w:t>cdsq.m</w:t>
      </w:r>
      <w:proofErr w:type="spellEnd"/>
      <w:r w:rsidRPr="0073364D">
        <w:rPr>
          <w:rFonts w:ascii="Verdana" w:hAnsi="Verdana" w:cstheme="minorHAnsi"/>
          <w:color w:val="000000"/>
          <w:sz w:val="22"/>
          <w:szCs w:val="22"/>
        </w:rPr>
        <w:t>.</w:t>
      </w:r>
    </w:p>
    <w:p w:rsidRPr="0073364D" w:rsidR="0044057B" w:rsidP="0044057B" w:rsidRDefault="0044057B" w14:paraId="3B2EE0F7" w14:textId="77777777">
      <w:pPr>
        <w:autoSpaceDE w:val="0"/>
        <w:autoSpaceDN w:val="0"/>
        <w:adjustRightInd w:val="0"/>
        <w:ind w:left="567" w:hanging="567"/>
        <w:jc w:val="both"/>
        <w:rPr>
          <w:rFonts w:ascii="Verdana" w:hAnsi="Verdana" w:cstheme="minorHAnsi"/>
          <w:color w:val="000000"/>
          <w:sz w:val="22"/>
          <w:szCs w:val="22"/>
        </w:rPr>
      </w:pPr>
    </w:p>
    <w:p w:rsidRPr="0073364D" w:rsidR="0044057B" w:rsidP="0044057B" w:rsidRDefault="0044057B" w14:paraId="10793448" w14:textId="6D4DD76A">
      <w:pPr>
        <w:pStyle w:val="NoSpacing"/>
        <w:ind w:left="567" w:hanging="567"/>
        <w:jc w:val="both"/>
        <w:rPr>
          <w:rFonts w:ascii="Verdana" w:hAnsi="Verdana" w:cstheme="minorHAnsi"/>
          <w:color w:val="000000"/>
          <w:sz w:val="22"/>
          <w:szCs w:val="22"/>
          <w:lang w:eastAsia="en-GB"/>
        </w:rPr>
      </w:pPr>
      <w:r>
        <w:rPr>
          <w:rFonts w:ascii="Verdana" w:hAnsi="Verdana" w:cstheme="minorHAnsi"/>
          <w:color w:val="000000"/>
          <w:sz w:val="22"/>
          <w:szCs w:val="22"/>
        </w:rPr>
        <w:t>5</w:t>
      </w:r>
      <w:r w:rsidRPr="0073364D">
        <w:rPr>
          <w:rFonts w:ascii="Verdana" w:hAnsi="Verdana" w:cstheme="minorHAnsi"/>
          <w:color w:val="000000"/>
          <w:sz w:val="22"/>
          <w:szCs w:val="22"/>
        </w:rPr>
        <w:t>.3</w:t>
      </w:r>
      <w:r w:rsidRPr="0073364D">
        <w:rPr>
          <w:rFonts w:ascii="Verdana" w:hAnsi="Verdana" w:cstheme="minorHAnsi"/>
          <w:color w:val="000000"/>
          <w:sz w:val="22"/>
          <w:szCs w:val="22"/>
        </w:rPr>
        <w:tab/>
      </w:r>
      <w:r w:rsidRPr="0073364D">
        <w:rPr>
          <w:rFonts w:ascii="Verdana" w:hAnsi="Verdana" w:cstheme="minorHAnsi"/>
          <w:color w:val="000000"/>
          <w:sz w:val="22"/>
          <w:szCs w:val="22"/>
        </w:rPr>
        <w:t xml:space="preserve">Table 4 of the ILP Lighting Guide includes recommended maximum luminance values for advertisements up to 10sq.m in area </w:t>
      </w:r>
      <w:r w:rsidRPr="0073364D">
        <w:rPr>
          <w:rFonts w:ascii="Verdana" w:hAnsi="Verdana" w:cstheme="minorHAnsi"/>
          <w:b/>
          <w:bCs/>
          <w:color w:val="000000"/>
          <w:sz w:val="22"/>
          <w:szCs w:val="22"/>
        </w:rPr>
        <w:t>during the night</w:t>
      </w:r>
      <w:r w:rsidRPr="0073364D">
        <w:rPr>
          <w:rFonts w:ascii="Verdana" w:hAnsi="Verdana" w:cstheme="minorHAnsi"/>
          <w:color w:val="000000"/>
          <w:sz w:val="22"/>
          <w:szCs w:val="22"/>
        </w:rPr>
        <w:t xml:space="preserve"> in five zones, from Zone E0 (Protected, Dark environments) to Zone E4 (Urban, High district brightness). </w:t>
      </w:r>
      <w:r>
        <w:rPr>
          <w:rFonts w:ascii="Verdana" w:hAnsi="Verdana" w:cstheme="minorHAnsi"/>
          <w:color w:val="000000"/>
          <w:sz w:val="22"/>
          <w:szCs w:val="22"/>
        </w:rPr>
        <w:t xml:space="preserve"> </w:t>
      </w:r>
      <w:r w:rsidR="00A62F7E">
        <w:rPr>
          <w:rFonts w:ascii="Verdana" w:hAnsi="Verdana" w:cstheme="minorHAnsi"/>
          <w:color w:val="000000"/>
          <w:sz w:val="22"/>
          <w:szCs w:val="22"/>
        </w:rPr>
        <w:t>The r</w:t>
      </w:r>
      <w:r w:rsidRPr="0073364D">
        <w:rPr>
          <w:rFonts w:ascii="Verdana" w:hAnsi="Verdana" w:cstheme="minorHAnsi"/>
          <w:color w:val="000000"/>
          <w:sz w:val="22"/>
          <w:szCs w:val="22"/>
        </w:rPr>
        <w:t xml:space="preserve">elevant excerpt from Table 4 </w:t>
      </w:r>
      <w:r w:rsidR="00A62F7E">
        <w:rPr>
          <w:rFonts w:ascii="Verdana" w:hAnsi="Verdana" w:cstheme="minorHAnsi"/>
          <w:color w:val="000000"/>
          <w:sz w:val="22"/>
          <w:szCs w:val="22"/>
        </w:rPr>
        <w:t>is</w:t>
      </w:r>
      <w:r w:rsidRPr="0073364D">
        <w:rPr>
          <w:rFonts w:ascii="Verdana" w:hAnsi="Verdana" w:cstheme="minorHAnsi"/>
          <w:color w:val="000000"/>
          <w:sz w:val="22"/>
          <w:szCs w:val="22"/>
        </w:rPr>
        <w:t xml:space="preserve"> reproduced below.</w:t>
      </w:r>
    </w:p>
    <w:p w:rsidRPr="0073364D" w:rsidR="004829A7" w:rsidP="0044057B" w:rsidRDefault="004829A7" w14:paraId="71F73DF4" w14:textId="77777777">
      <w:pPr>
        <w:ind w:left="567" w:hanging="567"/>
        <w:jc w:val="both"/>
        <w:rPr>
          <w:rFonts w:ascii="Verdana" w:hAnsi="Verdana" w:cstheme="minorHAnsi"/>
          <w:color w:val="000000"/>
          <w:sz w:val="22"/>
          <w:szCs w:val="22"/>
        </w:rPr>
      </w:pPr>
    </w:p>
    <w:tbl>
      <w:tblPr>
        <w:tblW w:w="9067" w:type="dxa"/>
        <w:tblCellMar>
          <w:left w:w="0" w:type="dxa"/>
          <w:right w:w="0" w:type="dxa"/>
        </w:tblCellMar>
        <w:tblLook w:val="04A0" w:firstRow="1" w:lastRow="0" w:firstColumn="1" w:lastColumn="0" w:noHBand="0" w:noVBand="1"/>
      </w:tblPr>
      <w:tblGrid>
        <w:gridCol w:w="767"/>
        <w:gridCol w:w="1613"/>
        <w:gridCol w:w="1778"/>
        <w:gridCol w:w="2365"/>
        <w:gridCol w:w="2544"/>
      </w:tblGrid>
      <w:tr w:rsidRPr="0073364D" w:rsidR="0044057B" w:rsidTr="00B46D84" w14:paraId="6D4A85EB" w14:textId="77777777">
        <w:tc>
          <w:tcPr>
            <w:tcW w:w="7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274D6411" w14:textId="77777777">
            <w:pPr>
              <w:ind w:left="567" w:hanging="567"/>
              <w:jc w:val="both"/>
              <w:rPr>
                <w:rFonts w:ascii="Verdana" w:hAnsi="Verdana" w:cstheme="minorHAnsi"/>
                <w:b/>
                <w:bCs/>
                <w:color w:val="000000"/>
                <w:sz w:val="20"/>
                <w:szCs w:val="20"/>
              </w:rPr>
            </w:pPr>
            <w:r w:rsidRPr="0073364D">
              <w:rPr>
                <w:rFonts w:ascii="Verdana" w:hAnsi="Verdana" w:cstheme="minorHAnsi"/>
                <w:b/>
                <w:bCs/>
                <w:color w:val="000000"/>
                <w:sz w:val="20"/>
                <w:szCs w:val="20"/>
              </w:rPr>
              <w:t>Zone</w:t>
            </w:r>
          </w:p>
        </w:tc>
        <w:tc>
          <w:tcPr>
            <w:tcW w:w="144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5F04A64F" w14:textId="77777777">
            <w:pPr>
              <w:ind w:left="567" w:hanging="567"/>
              <w:jc w:val="both"/>
              <w:rPr>
                <w:rFonts w:ascii="Verdana" w:hAnsi="Verdana" w:cstheme="minorHAnsi"/>
                <w:b/>
                <w:bCs/>
                <w:color w:val="000000"/>
                <w:sz w:val="20"/>
                <w:szCs w:val="20"/>
              </w:rPr>
            </w:pPr>
            <w:r w:rsidRPr="0073364D">
              <w:rPr>
                <w:rFonts w:ascii="Verdana" w:hAnsi="Verdana" w:cstheme="minorHAnsi"/>
                <w:b/>
                <w:bCs/>
                <w:color w:val="000000"/>
                <w:sz w:val="20"/>
                <w:szCs w:val="20"/>
              </w:rPr>
              <w:t>Surrounding</w:t>
            </w:r>
          </w:p>
        </w:tc>
        <w:tc>
          <w:tcPr>
            <w:tcW w:w="166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506CFF23" w14:textId="77777777">
            <w:pPr>
              <w:ind w:left="131"/>
              <w:jc w:val="both"/>
              <w:rPr>
                <w:rFonts w:ascii="Verdana" w:hAnsi="Verdana" w:cstheme="minorHAnsi"/>
                <w:b/>
                <w:bCs/>
                <w:color w:val="000000"/>
                <w:sz w:val="20"/>
                <w:szCs w:val="20"/>
              </w:rPr>
            </w:pPr>
            <w:r w:rsidRPr="0073364D">
              <w:rPr>
                <w:rFonts w:ascii="Verdana" w:hAnsi="Verdana" w:cstheme="minorHAnsi"/>
                <w:b/>
                <w:bCs/>
                <w:color w:val="000000"/>
                <w:sz w:val="20"/>
                <w:szCs w:val="20"/>
              </w:rPr>
              <w:t>Lighting environment</w:t>
            </w:r>
          </w:p>
        </w:tc>
        <w:tc>
          <w:tcPr>
            <w:tcW w:w="256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0084C4C6" w14:textId="77777777">
            <w:pPr>
              <w:ind w:left="567" w:hanging="567"/>
              <w:rPr>
                <w:rFonts w:ascii="Verdana" w:hAnsi="Verdana" w:cstheme="minorHAnsi"/>
                <w:b/>
                <w:bCs/>
                <w:color w:val="000000"/>
                <w:sz w:val="20"/>
                <w:szCs w:val="20"/>
              </w:rPr>
            </w:pPr>
            <w:r w:rsidRPr="0073364D">
              <w:rPr>
                <w:rFonts w:ascii="Verdana" w:hAnsi="Verdana" w:cstheme="minorHAnsi"/>
                <w:b/>
                <w:bCs/>
                <w:color w:val="000000"/>
                <w:sz w:val="20"/>
                <w:szCs w:val="20"/>
              </w:rPr>
              <w:t>Examples</w:t>
            </w:r>
          </w:p>
        </w:tc>
        <w:tc>
          <w:tcPr>
            <w:tcW w:w="26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007D985B" w14:textId="77777777">
            <w:pPr>
              <w:rPr>
                <w:rFonts w:ascii="Verdana" w:hAnsi="Verdana" w:cstheme="minorHAnsi"/>
                <w:b/>
                <w:bCs/>
                <w:color w:val="000000"/>
                <w:sz w:val="20"/>
                <w:szCs w:val="20"/>
              </w:rPr>
            </w:pPr>
            <w:r w:rsidRPr="0073364D">
              <w:rPr>
                <w:rFonts w:ascii="Verdana" w:hAnsi="Verdana" w:cstheme="minorHAnsi"/>
                <w:b/>
                <w:bCs/>
                <w:color w:val="000000"/>
                <w:sz w:val="20"/>
                <w:szCs w:val="20"/>
              </w:rPr>
              <w:t>Table 4: Maximum recommended luminance (cd/</w:t>
            </w:r>
            <w:proofErr w:type="spellStart"/>
            <w:r w:rsidRPr="0073364D">
              <w:rPr>
                <w:rFonts w:ascii="Verdana" w:hAnsi="Verdana" w:cstheme="minorHAnsi"/>
                <w:b/>
                <w:bCs/>
                <w:color w:val="000000"/>
                <w:sz w:val="20"/>
                <w:szCs w:val="20"/>
              </w:rPr>
              <w:t>sq.m</w:t>
            </w:r>
            <w:proofErr w:type="spellEnd"/>
            <w:r w:rsidRPr="0073364D">
              <w:rPr>
                <w:rFonts w:ascii="Verdana" w:hAnsi="Verdana" w:cstheme="minorHAnsi"/>
                <w:b/>
                <w:bCs/>
                <w:color w:val="000000"/>
                <w:sz w:val="20"/>
                <w:szCs w:val="20"/>
              </w:rPr>
              <w:t>) during the night. Displays up to 10sq.m</w:t>
            </w:r>
          </w:p>
        </w:tc>
      </w:tr>
      <w:tr w:rsidRPr="0073364D" w:rsidR="0044057B" w:rsidTr="00B46D84" w14:paraId="54843567" w14:textId="77777777">
        <w:tc>
          <w:tcPr>
            <w:tcW w:w="7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5F0069D0"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E2</w:t>
            </w:r>
          </w:p>
        </w:tc>
        <w:tc>
          <w:tcPr>
            <w:tcW w:w="1446"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2DE82F33"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Rural</w:t>
            </w:r>
          </w:p>
        </w:tc>
        <w:tc>
          <w:tcPr>
            <w:tcW w:w="1667"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3F677AD0" w14:textId="77777777">
            <w:pPr>
              <w:rPr>
                <w:rFonts w:ascii="Verdana" w:hAnsi="Verdana" w:cstheme="minorHAnsi"/>
                <w:color w:val="000000"/>
                <w:sz w:val="20"/>
                <w:szCs w:val="20"/>
              </w:rPr>
            </w:pPr>
            <w:r w:rsidRPr="0073364D">
              <w:rPr>
                <w:rFonts w:ascii="Verdana" w:hAnsi="Verdana" w:cstheme="minorHAnsi"/>
                <w:color w:val="000000"/>
                <w:sz w:val="20"/>
                <w:szCs w:val="20"/>
              </w:rPr>
              <w:t>Low district brightness</w:t>
            </w:r>
          </w:p>
        </w:tc>
        <w:tc>
          <w:tcPr>
            <w:tcW w:w="2564"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7FDF5BBE" w14:textId="77777777">
            <w:pPr>
              <w:rPr>
                <w:rFonts w:ascii="Verdana" w:hAnsi="Verdana" w:cstheme="minorHAnsi"/>
                <w:color w:val="000000"/>
                <w:sz w:val="20"/>
                <w:szCs w:val="20"/>
              </w:rPr>
            </w:pPr>
            <w:r w:rsidRPr="0073364D">
              <w:rPr>
                <w:rFonts w:ascii="Verdana" w:hAnsi="Verdana" w:cstheme="minorHAnsi"/>
                <w:color w:val="000000"/>
                <w:sz w:val="20"/>
                <w:szCs w:val="20"/>
              </w:rPr>
              <w:t>Village or relatively dark outer suburban locations</w:t>
            </w:r>
          </w:p>
        </w:tc>
        <w:tc>
          <w:tcPr>
            <w:tcW w:w="2680"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36CF9497"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400</w:t>
            </w:r>
          </w:p>
        </w:tc>
      </w:tr>
      <w:tr w:rsidRPr="0073364D" w:rsidR="0044057B" w:rsidTr="00B46D84" w14:paraId="2F6704C1" w14:textId="77777777">
        <w:tc>
          <w:tcPr>
            <w:tcW w:w="7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6F01945F"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E3</w:t>
            </w:r>
          </w:p>
        </w:tc>
        <w:tc>
          <w:tcPr>
            <w:tcW w:w="1446"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2AA5E631"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Suburban</w:t>
            </w:r>
          </w:p>
        </w:tc>
        <w:tc>
          <w:tcPr>
            <w:tcW w:w="1667"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397CAC02" w14:textId="77777777">
            <w:pPr>
              <w:rPr>
                <w:rFonts w:ascii="Verdana" w:hAnsi="Verdana" w:cstheme="minorHAnsi"/>
                <w:color w:val="000000"/>
                <w:sz w:val="20"/>
                <w:szCs w:val="20"/>
              </w:rPr>
            </w:pPr>
            <w:r w:rsidRPr="0073364D">
              <w:rPr>
                <w:rFonts w:ascii="Verdana" w:hAnsi="Verdana" w:cstheme="minorHAnsi"/>
                <w:color w:val="000000"/>
                <w:sz w:val="20"/>
                <w:szCs w:val="20"/>
              </w:rPr>
              <w:t>Medium district brightness</w:t>
            </w:r>
          </w:p>
        </w:tc>
        <w:tc>
          <w:tcPr>
            <w:tcW w:w="2564"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7EDFAA21" w14:textId="77777777">
            <w:pPr>
              <w:rPr>
                <w:rFonts w:ascii="Verdana" w:hAnsi="Verdana" w:cstheme="minorHAnsi"/>
                <w:color w:val="000000"/>
                <w:sz w:val="20"/>
                <w:szCs w:val="20"/>
              </w:rPr>
            </w:pPr>
            <w:r w:rsidRPr="0073364D">
              <w:rPr>
                <w:rFonts w:ascii="Verdana" w:hAnsi="Verdana" w:cstheme="minorHAnsi"/>
                <w:color w:val="000000"/>
                <w:sz w:val="20"/>
                <w:szCs w:val="20"/>
              </w:rPr>
              <w:t xml:space="preserve">Small town </w:t>
            </w:r>
            <w:proofErr w:type="spellStart"/>
            <w:r w:rsidRPr="0073364D">
              <w:rPr>
                <w:rFonts w:ascii="Verdana" w:hAnsi="Verdana" w:cstheme="minorHAnsi"/>
                <w:color w:val="000000"/>
                <w:sz w:val="20"/>
                <w:szCs w:val="20"/>
              </w:rPr>
              <w:t>centres</w:t>
            </w:r>
            <w:proofErr w:type="spellEnd"/>
            <w:r w:rsidRPr="0073364D">
              <w:rPr>
                <w:rFonts w:ascii="Verdana" w:hAnsi="Verdana" w:cstheme="minorHAnsi"/>
                <w:color w:val="000000"/>
                <w:sz w:val="20"/>
                <w:szCs w:val="20"/>
              </w:rPr>
              <w:t xml:space="preserve"> or suburban locations</w:t>
            </w:r>
          </w:p>
        </w:tc>
        <w:tc>
          <w:tcPr>
            <w:tcW w:w="2680"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658EB949"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600</w:t>
            </w:r>
          </w:p>
        </w:tc>
      </w:tr>
      <w:tr w:rsidRPr="0073364D" w:rsidR="0044057B" w:rsidTr="00B46D84" w14:paraId="1501A339" w14:textId="77777777">
        <w:tc>
          <w:tcPr>
            <w:tcW w:w="7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1E2E34C9"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E4</w:t>
            </w:r>
          </w:p>
        </w:tc>
        <w:tc>
          <w:tcPr>
            <w:tcW w:w="1446"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6DABC03C"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Urban</w:t>
            </w:r>
          </w:p>
        </w:tc>
        <w:tc>
          <w:tcPr>
            <w:tcW w:w="1667"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70FAA6FE" w14:textId="77777777">
            <w:pPr>
              <w:rPr>
                <w:rFonts w:ascii="Verdana" w:hAnsi="Verdana" w:cstheme="minorHAnsi"/>
                <w:color w:val="000000"/>
                <w:sz w:val="20"/>
                <w:szCs w:val="20"/>
              </w:rPr>
            </w:pPr>
            <w:r w:rsidRPr="0073364D">
              <w:rPr>
                <w:rFonts w:ascii="Verdana" w:hAnsi="Verdana" w:cstheme="minorHAnsi"/>
                <w:color w:val="000000"/>
                <w:sz w:val="20"/>
                <w:szCs w:val="20"/>
              </w:rPr>
              <w:t>High district brightness</w:t>
            </w:r>
          </w:p>
        </w:tc>
        <w:tc>
          <w:tcPr>
            <w:tcW w:w="2564"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5AE55F60" w14:textId="77777777">
            <w:pPr>
              <w:rPr>
                <w:rFonts w:ascii="Verdana" w:hAnsi="Verdana" w:cstheme="minorHAnsi"/>
                <w:color w:val="000000"/>
                <w:sz w:val="20"/>
                <w:szCs w:val="20"/>
              </w:rPr>
            </w:pPr>
            <w:r w:rsidRPr="0073364D">
              <w:rPr>
                <w:rFonts w:ascii="Verdana" w:hAnsi="Verdana" w:cstheme="minorHAnsi"/>
                <w:color w:val="000000"/>
                <w:sz w:val="20"/>
                <w:szCs w:val="20"/>
              </w:rPr>
              <w:t xml:space="preserve">Town/city </w:t>
            </w:r>
            <w:proofErr w:type="spellStart"/>
            <w:r w:rsidRPr="0073364D">
              <w:rPr>
                <w:rFonts w:ascii="Verdana" w:hAnsi="Verdana" w:cstheme="minorHAnsi"/>
                <w:color w:val="000000"/>
                <w:sz w:val="20"/>
                <w:szCs w:val="20"/>
              </w:rPr>
              <w:t>centres</w:t>
            </w:r>
            <w:proofErr w:type="spellEnd"/>
            <w:r w:rsidRPr="0073364D">
              <w:rPr>
                <w:rFonts w:ascii="Verdana" w:hAnsi="Verdana" w:cstheme="minorHAnsi"/>
                <w:color w:val="000000"/>
                <w:sz w:val="20"/>
                <w:szCs w:val="20"/>
              </w:rPr>
              <w:t xml:space="preserve"> with high levels of night time activity</w:t>
            </w:r>
          </w:p>
        </w:tc>
        <w:tc>
          <w:tcPr>
            <w:tcW w:w="2680" w:type="dxa"/>
            <w:tcBorders>
              <w:top w:val="nil"/>
              <w:left w:val="nil"/>
              <w:bottom w:val="single" w:color="auto" w:sz="8" w:space="0"/>
              <w:right w:val="single" w:color="auto" w:sz="8" w:space="0"/>
            </w:tcBorders>
            <w:tcMar>
              <w:top w:w="0" w:type="dxa"/>
              <w:left w:w="108" w:type="dxa"/>
              <w:bottom w:w="0" w:type="dxa"/>
              <w:right w:w="108" w:type="dxa"/>
            </w:tcMar>
            <w:hideMark/>
          </w:tcPr>
          <w:p w:rsidRPr="0073364D" w:rsidR="0044057B" w:rsidP="00B46D84" w:rsidRDefault="0044057B" w14:paraId="2C88BE84" w14:textId="77777777">
            <w:pPr>
              <w:ind w:left="567" w:hanging="567"/>
              <w:jc w:val="both"/>
              <w:rPr>
                <w:rFonts w:ascii="Verdana" w:hAnsi="Verdana" w:cstheme="minorHAnsi"/>
                <w:color w:val="000000"/>
                <w:sz w:val="20"/>
                <w:szCs w:val="20"/>
              </w:rPr>
            </w:pPr>
            <w:r w:rsidRPr="0073364D">
              <w:rPr>
                <w:rFonts w:ascii="Verdana" w:hAnsi="Verdana" w:cstheme="minorHAnsi"/>
                <w:color w:val="000000"/>
                <w:sz w:val="20"/>
                <w:szCs w:val="20"/>
              </w:rPr>
              <w:t>600</w:t>
            </w:r>
          </w:p>
        </w:tc>
      </w:tr>
    </w:tbl>
    <w:p w:rsidR="00A62F7E" w:rsidP="0044057B" w:rsidRDefault="00A62F7E" w14:paraId="6D704A73" w14:textId="07E5179D">
      <w:pPr>
        <w:pStyle w:val="NoSpacing"/>
        <w:ind w:left="567" w:hanging="567"/>
        <w:jc w:val="both"/>
        <w:rPr>
          <w:rFonts w:ascii="Verdana" w:hAnsi="Verdana" w:cstheme="minorHAnsi"/>
          <w:sz w:val="22"/>
          <w:szCs w:val="22"/>
        </w:rPr>
      </w:pPr>
    </w:p>
    <w:p w:rsidR="00A62F7E" w:rsidP="0044057B" w:rsidRDefault="00A62F7E" w14:paraId="7AC7A2FF" w14:textId="77777777">
      <w:pPr>
        <w:pStyle w:val="NoSpacing"/>
        <w:ind w:left="567" w:hanging="567"/>
        <w:jc w:val="both"/>
        <w:rPr>
          <w:rFonts w:ascii="Verdana" w:hAnsi="Verdana" w:cstheme="minorHAnsi"/>
          <w:sz w:val="22"/>
          <w:szCs w:val="22"/>
        </w:rPr>
      </w:pPr>
    </w:p>
    <w:p w:rsidR="0044057B" w:rsidP="0044057B" w:rsidRDefault="0044057B" w14:paraId="116DFE33" w14:textId="7B56D1E2">
      <w:pPr>
        <w:pStyle w:val="NoSpacing"/>
        <w:ind w:left="567" w:hanging="567"/>
        <w:jc w:val="both"/>
        <w:rPr>
          <w:rFonts w:ascii="Verdana" w:hAnsi="Verdana" w:cstheme="minorHAnsi"/>
          <w:sz w:val="22"/>
          <w:szCs w:val="22"/>
        </w:rPr>
      </w:pPr>
      <w:r>
        <w:rPr>
          <w:rFonts w:ascii="Verdana" w:hAnsi="Verdana" w:cstheme="minorHAnsi"/>
          <w:sz w:val="22"/>
          <w:szCs w:val="22"/>
        </w:rPr>
        <w:t>5</w:t>
      </w:r>
      <w:r w:rsidRPr="0073364D">
        <w:rPr>
          <w:rFonts w:ascii="Verdana" w:hAnsi="Verdana" w:cstheme="minorHAnsi"/>
          <w:sz w:val="22"/>
          <w:szCs w:val="22"/>
        </w:rPr>
        <w:t>.</w:t>
      </w:r>
      <w:r>
        <w:rPr>
          <w:rFonts w:ascii="Verdana" w:hAnsi="Verdana" w:cstheme="minorHAnsi"/>
          <w:sz w:val="22"/>
          <w:szCs w:val="22"/>
        </w:rPr>
        <w:t>4</w:t>
      </w:r>
      <w:r w:rsidRPr="0073364D">
        <w:rPr>
          <w:rFonts w:ascii="Verdana" w:hAnsi="Verdana" w:cstheme="minorHAnsi"/>
          <w:sz w:val="22"/>
          <w:szCs w:val="22"/>
        </w:rPr>
        <w:tab/>
      </w:r>
      <w:r w:rsidRPr="0073364D">
        <w:rPr>
          <w:rFonts w:ascii="Verdana" w:hAnsi="Verdana" w:cstheme="minorHAnsi"/>
          <w:sz w:val="22"/>
          <w:szCs w:val="22"/>
        </w:rPr>
        <w:t xml:space="preserve">The ILP Lighting Guide does not contain recommended maximum </w:t>
      </w:r>
      <w:r>
        <w:rPr>
          <w:rFonts w:ascii="Verdana" w:hAnsi="Verdana" w:cstheme="minorHAnsi"/>
          <w:sz w:val="22"/>
          <w:szCs w:val="22"/>
        </w:rPr>
        <w:t xml:space="preserve">luminance </w:t>
      </w:r>
      <w:r w:rsidRPr="0073364D">
        <w:rPr>
          <w:rFonts w:ascii="Verdana" w:hAnsi="Verdana" w:cstheme="minorHAnsi"/>
          <w:sz w:val="22"/>
          <w:szCs w:val="22"/>
        </w:rPr>
        <w:t xml:space="preserve">levels for </w:t>
      </w:r>
      <w:r>
        <w:rPr>
          <w:rFonts w:ascii="Verdana" w:hAnsi="Verdana" w:cstheme="minorHAnsi"/>
          <w:sz w:val="22"/>
          <w:szCs w:val="22"/>
        </w:rPr>
        <w:t xml:space="preserve">advertising </w:t>
      </w:r>
      <w:r w:rsidRPr="0073364D">
        <w:rPr>
          <w:rFonts w:ascii="Verdana" w:hAnsi="Verdana" w:cstheme="minorHAnsi"/>
          <w:sz w:val="22"/>
          <w:szCs w:val="22"/>
        </w:rPr>
        <w:t xml:space="preserve">displays during the day.  In respect of </w:t>
      </w:r>
      <w:r>
        <w:rPr>
          <w:rFonts w:ascii="Verdana" w:hAnsi="Verdana" w:cstheme="minorHAnsi"/>
          <w:sz w:val="22"/>
          <w:szCs w:val="22"/>
        </w:rPr>
        <w:t>day time operation of such displays</w:t>
      </w:r>
      <w:r w:rsidR="00C619BC">
        <w:rPr>
          <w:rFonts w:ascii="Verdana" w:hAnsi="Verdana" w:cstheme="minorHAnsi"/>
          <w:sz w:val="22"/>
          <w:szCs w:val="22"/>
        </w:rPr>
        <w:t>,</w:t>
      </w:r>
      <w:r>
        <w:rPr>
          <w:rFonts w:ascii="Verdana" w:hAnsi="Verdana" w:cstheme="minorHAnsi"/>
          <w:sz w:val="22"/>
          <w:szCs w:val="22"/>
        </w:rPr>
        <w:t xml:space="preserve"> t</w:t>
      </w:r>
      <w:r w:rsidRPr="0073364D">
        <w:rPr>
          <w:rFonts w:ascii="Verdana" w:hAnsi="Verdana" w:cstheme="minorHAnsi"/>
          <w:sz w:val="22"/>
          <w:szCs w:val="22"/>
        </w:rPr>
        <w:t>he Lighting Guide states</w:t>
      </w:r>
      <w:r>
        <w:rPr>
          <w:rFonts w:ascii="Verdana" w:hAnsi="Verdana" w:cstheme="minorHAnsi"/>
          <w:sz w:val="22"/>
          <w:szCs w:val="22"/>
        </w:rPr>
        <w:t>:</w:t>
      </w:r>
    </w:p>
    <w:p w:rsidR="0044057B" w:rsidP="0044057B" w:rsidRDefault="0044057B" w14:paraId="43BDA6FF" w14:textId="77777777">
      <w:pPr>
        <w:pStyle w:val="NoSpacing"/>
        <w:ind w:left="567" w:hanging="567"/>
        <w:jc w:val="both"/>
        <w:rPr>
          <w:rFonts w:ascii="Verdana" w:hAnsi="Verdana" w:cstheme="minorHAnsi"/>
          <w:sz w:val="22"/>
          <w:szCs w:val="22"/>
        </w:rPr>
      </w:pPr>
    </w:p>
    <w:p w:rsidR="0044057B" w:rsidP="00C619BC" w:rsidRDefault="0044057B" w14:paraId="5DBC4E84" w14:textId="77777777">
      <w:pPr>
        <w:pStyle w:val="NoSpacing"/>
        <w:ind w:left="851"/>
        <w:jc w:val="both"/>
        <w:rPr>
          <w:rFonts w:ascii="Verdana" w:hAnsi="Verdana" w:cs="Arial" w:eastAsiaTheme="minorHAnsi"/>
          <w:i/>
          <w:iCs/>
          <w:color w:val="3A3B3D"/>
          <w:sz w:val="22"/>
          <w:szCs w:val="22"/>
          <w:lang w:val="en-GB"/>
        </w:rPr>
      </w:pPr>
      <w:r w:rsidRPr="0073364D">
        <w:rPr>
          <w:rFonts w:ascii="Verdana" w:hAnsi="Verdana" w:cstheme="minorHAnsi"/>
          <w:i/>
          <w:iCs/>
          <w:sz w:val="22"/>
          <w:szCs w:val="22"/>
        </w:rPr>
        <w:t>“Media screens that may be effective during the day are likely to exceed the night time luminance limits. </w:t>
      </w:r>
      <w:r>
        <w:rPr>
          <w:rFonts w:ascii="Verdana" w:hAnsi="Verdana" w:cstheme="minorHAnsi"/>
          <w:i/>
          <w:iCs/>
          <w:sz w:val="22"/>
          <w:szCs w:val="22"/>
        </w:rPr>
        <w:t xml:space="preserve"> </w:t>
      </w:r>
      <w:r w:rsidRPr="0073364D">
        <w:rPr>
          <w:rFonts w:ascii="Verdana" w:hAnsi="Verdana" w:cstheme="minorHAnsi"/>
          <w:i/>
          <w:iCs/>
          <w:sz w:val="22"/>
          <w:szCs w:val="22"/>
        </w:rPr>
        <w:t>They will require a system that controls luminance accordingly</w:t>
      </w:r>
      <w:r>
        <w:rPr>
          <w:rFonts w:ascii="Verdana" w:hAnsi="Verdana" w:cstheme="minorHAnsi"/>
          <w:i/>
          <w:iCs/>
          <w:sz w:val="22"/>
          <w:szCs w:val="22"/>
        </w:rPr>
        <w:t xml:space="preserve"> </w:t>
      </w:r>
      <w:r w:rsidRPr="005A779F">
        <w:rPr>
          <w:rFonts w:ascii="Verdana" w:hAnsi="Verdana" w:cs="Arial" w:eastAsiaTheme="minorHAnsi"/>
          <w:i/>
          <w:iCs/>
          <w:color w:val="202121"/>
          <w:sz w:val="22"/>
          <w:szCs w:val="22"/>
          <w:lang w:val="en-GB"/>
        </w:rPr>
        <w:t>and takes into account any curfews, and the chang</w:t>
      </w:r>
      <w:r w:rsidRPr="005A779F">
        <w:rPr>
          <w:rFonts w:ascii="Verdana" w:hAnsi="Verdana" w:cs="Arial" w:eastAsiaTheme="minorHAnsi"/>
          <w:i/>
          <w:iCs/>
          <w:color w:val="3A3B3D"/>
          <w:sz w:val="22"/>
          <w:szCs w:val="22"/>
          <w:lang w:val="en-GB"/>
        </w:rPr>
        <w:t xml:space="preserve">ing </w:t>
      </w:r>
      <w:r w:rsidRPr="005A779F">
        <w:rPr>
          <w:rFonts w:ascii="Verdana" w:hAnsi="Verdana" w:cs="Arial" w:eastAsiaTheme="minorHAnsi"/>
          <w:i/>
          <w:iCs/>
          <w:color w:val="202121"/>
          <w:sz w:val="22"/>
          <w:szCs w:val="22"/>
          <w:lang w:val="en-GB"/>
        </w:rPr>
        <w:t>time of sunset</w:t>
      </w:r>
      <w:r w:rsidRPr="005A779F">
        <w:rPr>
          <w:rFonts w:ascii="Verdana" w:hAnsi="Verdana" w:cs="Arial" w:eastAsiaTheme="minorHAnsi"/>
          <w:i/>
          <w:iCs/>
          <w:color w:val="3A3B3D"/>
          <w:sz w:val="22"/>
          <w:szCs w:val="22"/>
          <w:lang w:val="en-GB"/>
        </w:rPr>
        <w:t xml:space="preserve">, </w:t>
      </w:r>
      <w:r w:rsidRPr="005A779F">
        <w:rPr>
          <w:rFonts w:ascii="Verdana" w:hAnsi="Verdana" w:cs="Arial" w:eastAsiaTheme="minorHAnsi"/>
          <w:i/>
          <w:iCs/>
          <w:color w:val="202121"/>
          <w:sz w:val="22"/>
          <w:szCs w:val="22"/>
          <w:lang w:val="en-GB"/>
        </w:rPr>
        <w:t>and dawn throughout the year</w:t>
      </w:r>
      <w:r w:rsidRPr="005A779F">
        <w:rPr>
          <w:rFonts w:ascii="Verdana" w:hAnsi="Verdana" w:cs="Arial" w:eastAsiaTheme="minorHAnsi"/>
          <w:i/>
          <w:iCs/>
          <w:color w:val="3A3B3D"/>
          <w:sz w:val="22"/>
          <w:szCs w:val="22"/>
          <w:lang w:val="en-GB"/>
        </w:rPr>
        <w:t>.</w:t>
      </w:r>
    </w:p>
    <w:p w:rsidR="0044057B" w:rsidP="00C619BC" w:rsidRDefault="0044057B" w14:paraId="1C1CFB8B" w14:textId="77777777">
      <w:pPr>
        <w:pStyle w:val="NoSpacing"/>
        <w:ind w:left="851"/>
        <w:jc w:val="both"/>
        <w:rPr>
          <w:rFonts w:ascii="Verdana" w:hAnsi="Verdana" w:cstheme="minorHAnsi"/>
          <w:i/>
          <w:iCs/>
          <w:sz w:val="22"/>
          <w:szCs w:val="22"/>
        </w:rPr>
      </w:pPr>
      <w:r w:rsidRPr="0073364D">
        <w:rPr>
          <w:rFonts w:ascii="Verdana" w:hAnsi="Verdana" w:cstheme="minorHAnsi"/>
          <w:i/>
          <w:iCs/>
          <w:sz w:val="22"/>
          <w:szCs w:val="22"/>
        </w:rPr>
        <w:t>The limit of luminance to be imposed as a condition of consent should be determined by relating the details of the application to Table 4 of this Report.”</w:t>
      </w:r>
    </w:p>
    <w:p w:rsidR="0044057B" w:rsidP="0044057B" w:rsidRDefault="0044057B" w14:paraId="1EEAB1F4" w14:textId="77777777">
      <w:pPr>
        <w:pStyle w:val="NoSpacing"/>
        <w:jc w:val="both"/>
        <w:rPr>
          <w:rFonts w:ascii="Verdana" w:hAnsi="Verdana" w:cstheme="minorHAnsi"/>
          <w:i/>
          <w:iCs/>
          <w:sz w:val="22"/>
          <w:szCs w:val="22"/>
        </w:rPr>
      </w:pPr>
    </w:p>
    <w:p w:rsidRPr="000907C7" w:rsidR="0044057B" w:rsidP="0044057B" w:rsidRDefault="0044057B" w14:paraId="2CB9A8CC" w14:textId="28A56DCA">
      <w:pPr>
        <w:pStyle w:val="NoSpacing"/>
        <w:ind w:left="567" w:hanging="567"/>
        <w:jc w:val="both"/>
        <w:rPr>
          <w:rFonts w:ascii="Verdana" w:hAnsi="Verdana" w:cstheme="minorHAnsi"/>
          <w:sz w:val="22"/>
          <w:szCs w:val="22"/>
        </w:rPr>
      </w:pPr>
      <w:r>
        <w:rPr>
          <w:rFonts w:ascii="Verdana" w:hAnsi="Verdana"/>
          <w:sz w:val="22"/>
          <w:szCs w:val="22"/>
        </w:rPr>
        <w:t>5.5</w:t>
      </w:r>
      <w:r>
        <w:rPr>
          <w:rFonts w:ascii="Verdana" w:hAnsi="Verdana"/>
          <w:sz w:val="22"/>
          <w:szCs w:val="22"/>
        </w:rPr>
        <w:tab/>
      </w:r>
      <w:r>
        <w:rPr>
          <w:rFonts w:ascii="Verdana" w:hAnsi="Verdana"/>
          <w:sz w:val="22"/>
          <w:szCs w:val="22"/>
        </w:rPr>
        <w:t>In terms of a maximum luminance during the day, t</w:t>
      </w:r>
      <w:r w:rsidRPr="000907C7">
        <w:rPr>
          <w:rFonts w:ascii="Verdana" w:hAnsi="Verdana"/>
          <w:sz w:val="22"/>
          <w:szCs w:val="22"/>
        </w:rPr>
        <w:t xml:space="preserve">he ILP Lighting Guide </w:t>
      </w:r>
      <w:r>
        <w:rPr>
          <w:rFonts w:ascii="Verdana" w:hAnsi="Verdana"/>
          <w:sz w:val="22"/>
          <w:szCs w:val="22"/>
        </w:rPr>
        <w:t>s</w:t>
      </w:r>
      <w:r w:rsidRPr="000907C7">
        <w:rPr>
          <w:rFonts w:ascii="Verdana" w:hAnsi="Verdana"/>
          <w:sz w:val="22"/>
          <w:szCs w:val="22"/>
        </w:rPr>
        <w:t>tate</w:t>
      </w:r>
      <w:r>
        <w:rPr>
          <w:rFonts w:ascii="Verdana" w:hAnsi="Verdana"/>
          <w:sz w:val="22"/>
          <w:szCs w:val="22"/>
        </w:rPr>
        <w:t>s</w:t>
      </w:r>
      <w:r w:rsidR="00713619">
        <w:rPr>
          <w:rFonts w:ascii="Verdana" w:hAnsi="Verdana"/>
          <w:sz w:val="22"/>
          <w:szCs w:val="22"/>
        </w:rPr>
        <w:t>,</w:t>
      </w:r>
      <w:r w:rsidRPr="000907C7">
        <w:rPr>
          <w:rFonts w:ascii="Verdana" w:hAnsi="Verdana"/>
          <w:sz w:val="22"/>
          <w:szCs w:val="22"/>
        </w:rPr>
        <w:t xml:space="preserve"> </w:t>
      </w:r>
      <w:r w:rsidRPr="00713619" w:rsidR="00713619">
        <w:rPr>
          <w:rFonts w:ascii="Verdana" w:hAnsi="Verdana"/>
          <w:i/>
          <w:iCs/>
          <w:sz w:val="22"/>
          <w:szCs w:val="22"/>
        </w:rPr>
        <w:t>“</w:t>
      </w:r>
      <w:r w:rsidRPr="00713619">
        <w:rPr>
          <w:rFonts w:ascii="Verdana" w:hAnsi="Verdana"/>
          <w:i/>
          <w:iCs/>
          <w:sz w:val="22"/>
          <w:szCs w:val="22"/>
        </w:rPr>
        <w:t>during daytime sign luminance should n</w:t>
      </w:r>
      <w:r w:rsidRPr="00713619" w:rsidR="0011160B">
        <w:rPr>
          <w:rFonts w:ascii="Verdana" w:hAnsi="Verdana"/>
          <w:i/>
          <w:iCs/>
          <w:sz w:val="22"/>
          <w:szCs w:val="22"/>
        </w:rPr>
        <w:t>ot</w:t>
      </w:r>
      <w:r w:rsidRPr="00713619">
        <w:rPr>
          <w:rFonts w:ascii="Verdana" w:hAnsi="Verdana"/>
          <w:i/>
          <w:iCs/>
          <w:sz w:val="22"/>
          <w:szCs w:val="22"/>
        </w:rPr>
        <w:t xml:space="preserve"> exceed 5,000 </w:t>
      </w:r>
      <w:proofErr w:type="spellStart"/>
      <w:r w:rsidRPr="00713619">
        <w:rPr>
          <w:rFonts w:ascii="Verdana" w:hAnsi="Verdana"/>
          <w:i/>
          <w:iCs/>
          <w:sz w:val="22"/>
          <w:szCs w:val="22"/>
        </w:rPr>
        <w:t>cdsq.m</w:t>
      </w:r>
      <w:proofErr w:type="spellEnd"/>
      <w:r w:rsidRPr="00713619">
        <w:rPr>
          <w:rFonts w:ascii="Verdana" w:hAnsi="Verdana"/>
          <w:i/>
          <w:iCs/>
          <w:sz w:val="22"/>
          <w:szCs w:val="22"/>
        </w:rPr>
        <w:t>.</w:t>
      </w:r>
      <w:r w:rsidRPr="00713619" w:rsidR="00713619">
        <w:rPr>
          <w:rFonts w:ascii="Verdana" w:hAnsi="Verdana"/>
          <w:i/>
          <w:iCs/>
          <w:sz w:val="22"/>
          <w:szCs w:val="22"/>
        </w:rPr>
        <w:t>”</w:t>
      </w:r>
    </w:p>
    <w:p w:rsidRPr="0073364D" w:rsidR="0044057B" w:rsidP="0044057B" w:rsidRDefault="0044057B" w14:paraId="698D54B3" w14:textId="77777777">
      <w:pPr>
        <w:pStyle w:val="NoSpacing"/>
        <w:ind w:left="567" w:hanging="567"/>
        <w:jc w:val="both"/>
        <w:rPr>
          <w:rFonts w:ascii="Verdana" w:hAnsi="Verdana" w:cstheme="minorHAnsi"/>
          <w:sz w:val="22"/>
          <w:szCs w:val="22"/>
        </w:rPr>
      </w:pPr>
    </w:p>
    <w:p w:rsidR="0044057B" w:rsidP="0044057B" w:rsidRDefault="0044057B" w14:paraId="6DF758E0" w14:textId="29F95CB4">
      <w:pPr>
        <w:pStyle w:val="NoSpacing"/>
        <w:ind w:left="567" w:hanging="567"/>
        <w:jc w:val="both"/>
        <w:rPr>
          <w:rFonts w:ascii="Verdana" w:hAnsi="Verdana" w:cstheme="minorHAnsi"/>
          <w:sz w:val="22"/>
          <w:szCs w:val="22"/>
        </w:rPr>
      </w:pPr>
      <w:r>
        <w:rPr>
          <w:rFonts w:ascii="Verdana" w:hAnsi="Verdana" w:cstheme="minorHAnsi"/>
          <w:sz w:val="22"/>
          <w:szCs w:val="22"/>
        </w:rPr>
        <w:t>5</w:t>
      </w:r>
      <w:r w:rsidRPr="0073364D">
        <w:rPr>
          <w:rFonts w:ascii="Verdana" w:hAnsi="Verdana" w:cstheme="minorHAnsi"/>
          <w:sz w:val="22"/>
          <w:szCs w:val="22"/>
        </w:rPr>
        <w:t>.</w:t>
      </w:r>
      <w:r>
        <w:rPr>
          <w:rFonts w:ascii="Verdana" w:hAnsi="Verdana" w:cstheme="minorHAnsi"/>
          <w:sz w:val="22"/>
          <w:szCs w:val="22"/>
        </w:rPr>
        <w:t>6</w:t>
      </w:r>
      <w:r w:rsidRPr="0073364D">
        <w:rPr>
          <w:rFonts w:ascii="Verdana" w:hAnsi="Verdana" w:cstheme="minorHAnsi"/>
          <w:sz w:val="22"/>
          <w:szCs w:val="22"/>
        </w:rPr>
        <w:tab/>
      </w:r>
      <w:r>
        <w:rPr>
          <w:rFonts w:ascii="Verdana" w:hAnsi="Verdana" w:cstheme="minorHAnsi"/>
          <w:sz w:val="22"/>
          <w:szCs w:val="22"/>
        </w:rPr>
        <w:t>As stated above, when it comes to imposing luminance conditions</w:t>
      </w:r>
      <w:r w:rsidR="00C62561">
        <w:rPr>
          <w:rFonts w:ascii="Verdana" w:hAnsi="Verdana" w:cstheme="minorHAnsi"/>
          <w:sz w:val="22"/>
          <w:szCs w:val="22"/>
        </w:rPr>
        <w:t>,</w:t>
      </w:r>
      <w:r>
        <w:rPr>
          <w:rFonts w:ascii="Verdana" w:hAnsi="Verdana" w:cstheme="minorHAnsi"/>
          <w:sz w:val="22"/>
          <w:szCs w:val="22"/>
        </w:rPr>
        <w:t xml:space="preserve"> t</w:t>
      </w:r>
      <w:r w:rsidRPr="0073364D">
        <w:rPr>
          <w:rFonts w:ascii="Verdana" w:hAnsi="Verdana" w:cstheme="minorHAnsi"/>
          <w:sz w:val="22"/>
          <w:szCs w:val="22"/>
        </w:rPr>
        <w:t xml:space="preserve">he ILP Lighting Guide states, </w:t>
      </w:r>
      <w:r w:rsidRPr="0073364D">
        <w:rPr>
          <w:rFonts w:ascii="Verdana" w:hAnsi="Verdana" w:cstheme="minorHAnsi"/>
          <w:i/>
          <w:iCs/>
          <w:sz w:val="22"/>
          <w:szCs w:val="22"/>
        </w:rPr>
        <w:t xml:space="preserve">“The limit of luminance to be imposed as a condition of consent should be determined by relating the details of the application to Table 4 of this Report.” </w:t>
      </w:r>
      <w:r w:rsidRPr="0073364D">
        <w:rPr>
          <w:rFonts w:ascii="Verdana" w:hAnsi="Verdana" w:cstheme="minorHAnsi"/>
          <w:sz w:val="22"/>
          <w:szCs w:val="22"/>
        </w:rPr>
        <w:t>(</w:t>
      </w:r>
      <w:r>
        <w:rPr>
          <w:rFonts w:ascii="Verdana" w:hAnsi="Verdana" w:cstheme="minorHAnsi"/>
          <w:sz w:val="22"/>
          <w:szCs w:val="22"/>
        </w:rPr>
        <w:t xml:space="preserve">which is reproduced </w:t>
      </w:r>
      <w:r w:rsidRPr="0073364D">
        <w:rPr>
          <w:rFonts w:ascii="Verdana" w:hAnsi="Verdana" w:cstheme="minorHAnsi"/>
          <w:sz w:val="22"/>
          <w:szCs w:val="22"/>
        </w:rPr>
        <w:t>above).</w:t>
      </w:r>
      <w:r>
        <w:rPr>
          <w:rFonts w:ascii="Verdana" w:hAnsi="Verdana" w:cstheme="minorHAnsi"/>
          <w:sz w:val="22"/>
          <w:szCs w:val="22"/>
        </w:rPr>
        <w:t xml:space="preserve">  This statement in the ILP Lighting Guide follows, and is based on advertising displays having </w:t>
      </w:r>
      <w:r w:rsidRPr="00154D94">
        <w:rPr>
          <w:rFonts w:ascii="Verdana" w:hAnsi="Verdana" w:cstheme="minorHAnsi"/>
          <w:sz w:val="22"/>
          <w:szCs w:val="22"/>
        </w:rPr>
        <w:t>a system that controls luminance</w:t>
      </w:r>
      <w:r>
        <w:rPr>
          <w:rFonts w:ascii="Verdana" w:hAnsi="Verdana" w:cstheme="minorHAnsi"/>
          <w:sz w:val="22"/>
          <w:szCs w:val="22"/>
        </w:rPr>
        <w:t xml:space="preserve"> during the day</w:t>
      </w:r>
      <w:r w:rsidRPr="00154D94">
        <w:rPr>
          <w:rFonts w:ascii="Verdana" w:hAnsi="Verdana" w:cstheme="minorHAnsi"/>
          <w:sz w:val="22"/>
          <w:szCs w:val="22"/>
        </w:rPr>
        <w:t>,</w:t>
      </w:r>
      <w:r>
        <w:rPr>
          <w:rFonts w:ascii="Verdana" w:hAnsi="Verdana" w:cstheme="minorHAnsi"/>
          <w:sz w:val="22"/>
          <w:szCs w:val="22"/>
        </w:rPr>
        <w:t xml:space="preserve"> </w:t>
      </w:r>
      <w:r w:rsidRPr="00154D94">
        <w:rPr>
          <w:rFonts w:ascii="Verdana" w:hAnsi="Verdana" w:cstheme="minorHAnsi"/>
          <w:sz w:val="22"/>
          <w:szCs w:val="22"/>
        </w:rPr>
        <w:t xml:space="preserve">which is the case with the proposed </w:t>
      </w:r>
      <w:r w:rsidR="005E1D0B">
        <w:rPr>
          <w:rFonts w:ascii="Verdana" w:hAnsi="Verdana" w:cstheme="minorHAnsi"/>
          <w:sz w:val="22"/>
          <w:szCs w:val="22"/>
        </w:rPr>
        <w:t xml:space="preserve">Digital </w:t>
      </w:r>
      <w:r w:rsidRPr="00154D94">
        <w:rPr>
          <w:rFonts w:ascii="Verdana" w:hAnsi="Verdana" w:cstheme="minorHAnsi"/>
          <w:sz w:val="22"/>
          <w:szCs w:val="22"/>
        </w:rPr>
        <w:t>displays.</w:t>
      </w:r>
    </w:p>
    <w:p w:rsidR="0044057B" w:rsidP="0044057B" w:rsidRDefault="0044057B" w14:paraId="45198143" w14:textId="77777777">
      <w:pPr>
        <w:pStyle w:val="NoSpacing"/>
        <w:ind w:left="567" w:hanging="567"/>
        <w:jc w:val="both"/>
        <w:rPr>
          <w:rFonts w:ascii="Verdana" w:hAnsi="Verdana" w:cstheme="minorHAnsi"/>
          <w:sz w:val="22"/>
          <w:szCs w:val="22"/>
        </w:rPr>
      </w:pPr>
    </w:p>
    <w:p w:rsidR="0044057B" w:rsidP="0044057B" w:rsidRDefault="0044057B" w14:paraId="7E80B2CA" w14:textId="4EAAE53C">
      <w:pPr>
        <w:pStyle w:val="NoSpacing"/>
        <w:ind w:left="567" w:hanging="567"/>
        <w:jc w:val="both"/>
        <w:rPr>
          <w:rFonts w:ascii="Verdana" w:hAnsi="Verdana" w:cstheme="minorHAnsi"/>
          <w:color w:val="000000"/>
          <w:sz w:val="22"/>
          <w:szCs w:val="22"/>
        </w:rPr>
      </w:pPr>
      <w:r>
        <w:rPr>
          <w:rFonts w:ascii="Verdana" w:hAnsi="Verdana" w:cstheme="minorHAnsi"/>
          <w:sz w:val="22"/>
          <w:szCs w:val="22"/>
        </w:rPr>
        <w:t>5.7</w:t>
      </w:r>
      <w:r>
        <w:rPr>
          <w:rFonts w:ascii="Verdana" w:hAnsi="Verdana" w:cstheme="minorHAnsi"/>
          <w:sz w:val="22"/>
          <w:szCs w:val="22"/>
        </w:rPr>
        <w:tab/>
      </w:r>
      <w:r w:rsidR="00CA3DA5">
        <w:rPr>
          <w:rFonts w:ascii="Verdana" w:hAnsi="Verdana" w:cstheme="minorHAnsi"/>
          <w:sz w:val="22"/>
          <w:szCs w:val="22"/>
        </w:rPr>
        <w:t>Therefore</w:t>
      </w:r>
      <w:r w:rsidR="00A4657F">
        <w:rPr>
          <w:rFonts w:ascii="Verdana" w:hAnsi="Verdana" w:cstheme="minorHAnsi"/>
          <w:sz w:val="22"/>
          <w:szCs w:val="22"/>
        </w:rPr>
        <w:t>, in accordance with</w:t>
      </w:r>
      <w:r>
        <w:rPr>
          <w:rFonts w:ascii="Verdana" w:hAnsi="Verdana" w:cstheme="minorHAnsi"/>
          <w:sz w:val="22"/>
          <w:szCs w:val="22"/>
        </w:rPr>
        <w:t xml:space="preserve"> the ILP Lighting Guide, luminance conditions should address proposed advertisements in darkness conditions</w:t>
      </w:r>
      <w:r w:rsidR="007C73A2">
        <w:rPr>
          <w:rFonts w:ascii="Verdana" w:hAnsi="Verdana" w:cstheme="minorHAnsi"/>
          <w:sz w:val="22"/>
          <w:szCs w:val="22"/>
        </w:rPr>
        <w:t>,</w:t>
      </w:r>
      <w:r>
        <w:rPr>
          <w:rFonts w:ascii="Verdana" w:hAnsi="Verdana" w:cstheme="minorHAnsi"/>
          <w:sz w:val="22"/>
          <w:szCs w:val="22"/>
        </w:rPr>
        <w:t xml:space="preserve"> as addressed in Table 4 within the ILP Lighting Guide.  As </w:t>
      </w:r>
      <w:r w:rsidR="007A18C7">
        <w:rPr>
          <w:rFonts w:ascii="Verdana" w:hAnsi="Verdana" w:cstheme="minorHAnsi"/>
          <w:sz w:val="22"/>
          <w:szCs w:val="22"/>
        </w:rPr>
        <w:t>described earlier</w:t>
      </w:r>
      <w:r>
        <w:rPr>
          <w:rFonts w:ascii="Verdana" w:hAnsi="Verdana" w:cstheme="minorHAnsi"/>
          <w:sz w:val="22"/>
          <w:szCs w:val="22"/>
        </w:rPr>
        <w:t>, d</w:t>
      </w:r>
      <w:r w:rsidRPr="0073364D">
        <w:rPr>
          <w:rFonts w:ascii="Verdana" w:hAnsi="Verdana" w:cstheme="minorHAnsi"/>
          <w:color w:val="000000"/>
          <w:sz w:val="22"/>
          <w:szCs w:val="22"/>
        </w:rPr>
        <w:t>uring periods of darkness,</w:t>
      </w:r>
      <w:r w:rsidRPr="00816AC1">
        <w:rPr>
          <w:rFonts w:ascii="Verdana" w:hAnsi="Verdana"/>
          <w:color w:val="000000" w:themeColor="text1"/>
          <w:sz w:val="22"/>
          <w:szCs w:val="22"/>
        </w:rPr>
        <w:t xml:space="preserve"> </w:t>
      </w:r>
      <w:r w:rsidRPr="00CB27DE">
        <w:rPr>
          <w:rFonts w:ascii="Verdana" w:hAnsi="Verdana"/>
          <w:color w:val="000000" w:themeColor="text1"/>
          <w:sz w:val="22"/>
          <w:szCs w:val="22"/>
        </w:rPr>
        <w:t xml:space="preserve">the </w:t>
      </w:r>
      <w:r w:rsidR="00141C05">
        <w:rPr>
          <w:rFonts w:ascii="Verdana" w:hAnsi="Verdana"/>
          <w:color w:val="000000" w:themeColor="text1"/>
          <w:sz w:val="22"/>
          <w:szCs w:val="22"/>
        </w:rPr>
        <w:t xml:space="preserve">proposed Digital </w:t>
      </w:r>
      <w:r w:rsidRPr="00CB27DE">
        <w:rPr>
          <w:rFonts w:ascii="Verdana" w:hAnsi="Verdana"/>
          <w:color w:val="000000" w:themeColor="text1"/>
          <w:sz w:val="22"/>
          <w:szCs w:val="22"/>
        </w:rPr>
        <w:t>displays</w:t>
      </w:r>
      <w:r>
        <w:rPr>
          <w:rFonts w:ascii="Verdana" w:hAnsi="Verdana"/>
          <w:color w:val="000000" w:themeColor="text1"/>
          <w:sz w:val="22"/>
          <w:szCs w:val="22"/>
        </w:rPr>
        <w:t xml:space="preserve"> operate </w:t>
      </w:r>
      <w:r>
        <w:rPr>
          <w:rFonts w:ascii="Verdana" w:hAnsi="Verdana" w:cstheme="minorHAnsi"/>
          <w:color w:val="000000"/>
          <w:sz w:val="22"/>
          <w:szCs w:val="22"/>
        </w:rPr>
        <w:t>at a set level whereby luminance does not exceed 30</w:t>
      </w:r>
      <w:r w:rsidRPr="0073364D">
        <w:rPr>
          <w:rFonts w:ascii="Verdana" w:hAnsi="Verdana" w:cstheme="minorHAnsi"/>
          <w:color w:val="000000"/>
          <w:sz w:val="22"/>
          <w:szCs w:val="22"/>
        </w:rPr>
        <w:t xml:space="preserve">0 </w:t>
      </w:r>
      <w:proofErr w:type="spellStart"/>
      <w:r w:rsidRPr="0073364D">
        <w:rPr>
          <w:rFonts w:ascii="Verdana" w:hAnsi="Verdana" w:cstheme="minorHAnsi"/>
          <w:color w:val="000000"/>
          <w:sz w:val="22"/>
          <w:szCs w:val="22"/>
        </w:rPr>
        <w:t>cdsq.m</w:t>
      </w:r>
      <w:proofErr w:type="spellEnd"/>
      <w:r>
        <w:rPr>
          <w:rFonts w:ascii="Verdana" w:hAnsi="Verdana" w:cstheme="minorHAnsi"/>
          <w:color w:val="000000"/>
          <w:sz w:val="22"/>
          <w:szCs w:val="22"/>
        </w:rPr>
        <w:t xml:space="preserve">, </w:t>
      </w:r>
      <w:r w:rsidRPr="0073364D">
        <w:rPr>
          <w:rFonts w:ascii="Verdana" w:hAnsi="Verdana" w:cstheme="minorHAnsi"/>
          <w:color w:val="000000"/>
          <w:sz w:val="22"/>
          <w:szCs w:val="22"/>
        </w:rPr>
        <w:t xml:space="preserve">which is </w:t>
      </w:r>
      <w:r>
        <w:rPr>
          <w:rFonts w:ascii="Verdana" w:hAnsi="Verdana" w:cstheme="minorHAnsi"/>
          <w:color w:val="000000"/>
          <w:sz w:val="22"/>
          <w:szCs w:val="22"/>
        </w:rPr>
        <w:t xml:space="preserve">well </w:t>
      </w:r>
      <w:r w:rsidRPr="0073364D">
        <w:rPr>
          <w:rFonts w:ascii="Verdana" w:hAnsi="Verdana" w:cstheme="minorHAnsi"/>
          <w:color w:val="000000"/>
          <w:sz w:val="22"/>
          <w:szCs w:val="22"/>
        </w:rPr>
        <w:t xml:space="preserve">within the levels recommended </w:t>
      </w:r>
      <w:r w:rsidR="00D50C3C">
        <w:rPr>
          <w:rFonts w:ascii="Verdana" w:hAnsi="Verdana" w:cstheme="minorHAnsi"/>
          <w:color w:val="000000"/>
          <w:sz w:val="22"/>
          <w:szCs w:val="22"/>
        </w:rPr>
        <w:t>in the ILP Lighting Guide</w:t>
      </w:r>
      <w:r>
        <w:rPr>
          <w:rFonts w:ascii="Verdana" w:hAnsi="Verdana" w:cstheme="minorHAnsi"/>
          <w:color w:val="000000"/>
          <w:sz w:val="22"/>
          <w:szCs w:val="22"/>
        </w:rPr>
        <w:t xml:space="preserve"> Table 4; f</w:t>
      </w:r>
      <w:r w:rsidRPr="0073364D">
        <w:rPr>
          <w:rFonts w:ascii="Verdana" w:hAnsi="Verdana" w:cstheme="minorHAnsi"/>
          <w:color w:val="000000"/>
          <w:sz w:val="22"/>
          <w:szCs w:val="22"/>
        </w:rPr>
        <w:t xml:space="preserve">or displays up to 10sq.m in area in </w:t>
      </w:r>
      <w:r>
        <w:rPr>
          <w:rFonts w:ascii="Verdana" w:hAnsi="Verdana" w:cstheme="minorHAnsi"/>
          <w:color w:val="000000"/>
          <w:sz w:val="22"/>
          <w:szCs w:val="22"/>
        </w:rPr>
        <w:t>Zone E3 S</w:t>
      </w:r>
      <w:r w:rsidRPr="0073364D">
        <w:rPr>
          <w:rFonts w:ascii="Verdana" w:hAnsi="Verdana" w:cstheme="minorHAnsi"/>
          <w:color w:val="000000"/>
          <w:sz w:val="22"/>
          <w:szCs w:val="22"/>
        </w:rPr>
        <w:t xml:space="preserve">uburban and </w:t>
      </w:r>
      <w:r>
        <w:rPr>
          <w:rFonts w:ascii="Verdana" w:hAnsi="Verdana" w:cstheme="minorHAnsi"/>
          <w:color w:val="000000"/>
          <w:sz w:val="22"/>
          <w:szCs w:val="22"/>
        </w:rPr>
        <w:t>E4 U</w:t>
      </w:r>
      <w:r w:rsidRPr="0073364D">
        <w:rPr>
          <w:rFonts w:ascii="Verdana" w:hAnsi="Verdana" w:cstheme="minorHAnsi"/>
          <w:color w:val="000000"/>
          <w:sz w:val="22"/>
          <w:szCs w:val="22"/>
        </w:rPr>
        <w:t xml:space="preserve">rban areas, the </w:t>
      </w:r>
      <w:r>
        <w:rPr>
          <w:rFonts w:ascii="Verdana" w:hAnsi="Verdana" w:cstheme="minorHAnsi"/>
          <w:color w:val="000000"/>
          <w:sz w:val="22"/>
          <w:szCs w:val="22"/>
        </w:rPr>
        <w:t xml:space="preserve">ILP Lighting Guide </w:t>
      </w:r>
      <w:r w:rsidR="00C769F5">
        <w:rPr>
          <w:rFonts w:ascii="Verdana" w:hAnsi="Verdana" w:cstheme="minorHAnsi"/>
          <w:color w:val="000000"/>
          <w:sz w:val="22"/>
          <w:szCs w:val="22"/>
        </w:rPr>
        <w:t xml:space="preserve">Table 4 </w:t>
      </w:r>
      <w:r w:rsidRPr="0073364D">
        <w:rPr>
          <w:rFonts w:ascii="Verdana" w:hAnsi="Verdana" w:cstheme="minorHAnsi"/>
          <w:color w:val="000000"/>
          <w:sz w:val="22"/>
          <w:szCs w:val="22"/>
        </w:rPr>
        <w:t>recommend</w:t>
      </w:r>
      <w:r>
        <w:rPr>
          <w:rFonts w:ascii="Verdana" w:hAnsi="Verdana" w:cstheme="minorHAnsi"/>
          <w:color w:val="000000"/>
          <w:sz w:val="22"/>
          <w:szCs w:val="22"/>
        </w:rPr>
        <w:t>ed</w:t>
      </w:r>
      <w:r w:rsidRPr="0073364D">
        <w:rPr>
          <w:rFonts w:ascii="Verdana" w:hAnsi="Verdana" w:cstheme="minorHAnsi"/>
          <w:color w:val="000000"/>
          <w:sz w:val="22"/>
          <w:szCs w:val="22"/>
        </w:rPr>
        <w:t xml:space="preserve"> maximum </w:t>
      </w:r>
      <w:r w:rsidR="006B25E1">
        <w:rPr>
          <w:rFonts w:ascii="Verdana" w:hAnsi="Verdana" w:cstheme="minorHAnsi"/>
          <w:color w:val="000000"/>
          <w:sz w:val="22"/>
          <w:szCs w:val="22"/>
        </w:rPr>
        <w:t xml:space="preserve">luminance </w:t>
      </w:r>
      <w:r>
        <w:rPr>
          <w:rFonts w:ascii="Verdana" w:hAnsi="Verdana" w:cstheme="minorHAnsi"/>
          <w:color w:val="000000"/>
          <w:sz w:val="22"/>
          <w:szCs w:val="22"/>
        </w:rPr>
        <w:t xml:space="preserve">in darkness </w:t>
      </w:r>
      <w:r w:rsidRPr="0073364D">
        <w:rPr>
          <w:rFonts w:ascii="Verdana" w:hAnsi="Verdana" w:cstheme="minorHAnsi"/>
          <w:color w:val="000000"/>
          <w:sz w:val="22"/>
          <w:szCs w:val="22"/>
        </w:rPr>
        <w:t xml:space="preserve">is 600 </w:t>
      </w:r>
      <w:proofErr w:type="spellStart"/>
      <w:r w:rsidRPr="0073364D">
        <w:rPr>
          <w:rFonts w:ascii="Verdana" w:hAnsi="Verdana" w:cstheme="minorHAnsi"/>
          <w:color w:val="000000"/>
          <w:sz w:val="22"/>
          <w:szCs w:val="22"/>
        </w:rPr>
        <w:t>cdsq.m</w:t>
      </w:r>
      <w:proofErr w:type="spellEnd"/>
      <w:r w:rsidRPr="0073364D">
        <w:rPr>
          <w:rFonts w:ascii="Verdana" w:hAnsi="Verdana" w:cstheme="minorHAnsi"/>
          <w:color w:val="000000"/>
          <w:sz w:val="22"/>
          <w:szCs w:val="22"/>
        </w:rPr>
        <w:t>.</w:t>
      </w:r>
    </w:p>
    <w:p w:rsidRPr="003E1A64" w:rsidR="0044057B" w:rsidP="0044057B" w:rsidRDefault="0044057B" w14:paraId="2A57EC37" w14:textId="77777777">
      <w:pPr>
        <w:pStyle w:val="NoSpacing"/>
        <w:ind w:left="567" w:hanging="567"/>
        <w:jc w:val="both"/>
        <w:rPr>
          <w:rFonts w:ascii="Verdana" w:hAnsi="Verdana" w:cstheme="minorHAnsi"/>
          <w:color w:val="000000"/>
          <w:sz w:val="22"/>
          <w:szCs w:val="22"/>
        </w:rPr>
      </w:pPr>
    </w:p>
    <w:p w:rsidRPr="003E1A64" w:rsidR="0044057B" w:rsidP="0044057B" w:rsidRDefault="0044057B" w14:paraId="0A0DC523" w14:textId="2E8545F4">
      <w:pPr>
        <w:pStyle w:val="NoSpacing"/>
        <w:ind w:left="567" w:hanging="567"/>
        <w:jc w:val="both"/>
        <w:rPr>
          <w:rFonts w:ascii="Verdana" w:hAnsi="Verdana"/>
          <w:sz w:val="22"/>
          <w:szCs w:val="22"/>
        </w:rPr>
      </w:pPr>
      <w:r>
        <w:rPr>
          <w:rFonts w:ascii="Verdana" w:hAnsi="Verdana" w:cstheme="minorHAnsi"/>
          <w:color w:val="000000"/>
          <w:sz w:val="22"/>
          <w:szCs w:val="22"/>
        </w:rPr>
        <w:t>5.8</w:t>
      </w:r>
      <w:r>
        <w:rPr>
          <w:rFonts w:ascii="Verdana" w:hAnsi="Verdana" w:cstheme="minorHAnsi"/>
          <w:color w:val="000000"/>
          <w:sz w:val="22"/>
          <w:szCs w:val="22"/>
        </w:rPr>
        <w:tab/>
      </w:r>
      <w:r w:rsidRPr="003E1A64">
        <w:rPr>
          <w:rFonts w:ascii="Verdana" w:hAnsi="Verdana" w:cstheme="minorHAnsi"/>
          <w:color w:val="000000"/>
          <w:sz w:val="22"/>
          <w:szCs w:val="22"/>
        </w:rPr>
        <w:t xml:space="preserve">During the day, in order to be effective </w:t>
      </w:r>
      <w:r>
        <w:rPr>
          <w:rFonts w:ascii="Verdana" w:hAnsi="Verdana" w:cstheme="minorHAnsi"/>
          <w:color w:val="000000"/>
          <w:sz w:val="22"/>
          <w:szCs w:val="22"/>
        </w:rPr>
        <w:t>(</w:t>
      </w:r>
      <w:r w:rsidRPr="003E1A64">
        <w:rPr>
          <w:rFonts w:ascii="Verdana" w:hAnsi="Verdana" w:cstheme="minorHAnsi"/>
          <w:color w:val="000000"/>
          <w:sz w:val="22"/>
          <w:szCs w:val="22"/>
        </w:rPr>
        <w:t>i</w:t>
      </w:r>
      <w:r>
        <w:rPr>
          <w:rFonts w:ascii="Verdana" w:hAnsi="Verdana" w:cstheme="minorHAnsi"/>
          <w:color w:val="000000"/>
          <w:sz w:val="22"/>
          <w:szCs w:val="22"/>
        </w:rPr>
        <w:t>.</w:t>
      </w:r>
      <w:r w:rsidRPr="003E1A64">
        <w:rPr>
          <w:rFonts w:ascii="Verdana" w:hAnsi="Verdana" w:cstheme="minorHAnsi"/>
          <w:color w:val="000000"/>
          <w:sz w:val="22"/>
          <w:szCs w:val="22"/>
        </w:rPr>
        <w:t>e. readily visible</w:t>
      </w:r>
      <w:r>
        <w:rPr>
          <w:rFonts w:ascii="Verdana" w:hAnsi="Verdana" w:cstheme="minorHAnsi"/>
          <w:color w:val="000000"/>
          <w:sz w:val="22"/>
          <w:szCs w:val="22"/>
        </w:rPr>
        <w:t>)</w:t>
      </w:r>
      <w:r w:rsidRPr="003E1A64">
        <w:rPr>
          <w:rFonts w:ascii="Verdana" w:hAnsi="Verdana" w:cstheme="minorHAnsi"/>
          <w:color w:val="000000"/>
          <w:sz w:val="22"/>
          <w:szCs w:val="22"/>
        </w:rPr>
        <w:t xml:space="preserve">, the displays operate at higher luminance levels </w:t>
      </w:r>
      <w:r>
        <w:rPr>
          <w:rFonts w:ascii="Verdana" w:hAnsi="Verdana" w:cstheme="minorHAnsi"/>
          <w:color w:val="000000"/>
          <w:sz w:val="22"/>
          <w:szCs w:val="22"/>
        </w:rPr>
        <w:t xml:space="preserve">given daylight </w:t>
      </w:r>
      <w:r w:rsidRPr="003E1A64">
        <w:rPr>
          <w:rFonts w:ascii="Verdana" w:hAnsi="Verdana" w:cstheme="minorHAnsi"/>
          <w:color w:val="000000"/>
          <w:sz w:val="22"/>
          <w:szCs w:val="22"/>
        </w:rPr>
        <w:t>ambient light levels, which on bright</w:t>
      </w:r>
      <w:r w:rsidR="001900B1">
        <w:rPr>
          <w:rFonts w:ascii="Verdana" w:hAnsi="Verdana" w:cstheme="minorHAnsi"/>
          <w:color w:val="000000"/>
          <w:sz w:val="22"/>
          <w:szCs w:val="22"/>
        </w:rPr>
        <w:t>,</w:t>
      </w:r>
      <w:r w:rsidRPr="003E1A64">
        <w:rPr>
          <w:rFonts w:ascii="Verdana" w:hAnsi="Verdana" w:cstheme="minorHAnsi"/>
          <w:color w:val="000000"/>
          <w:sz w:val="22"/>
          <w:szCs w:val="22"/>
        </w:rPr>
        <w:t xml:space="preserve"> sunny days can </w:t>
      </w:r>
      <w:r>
        <w:rPr>
          <w:rFonts w:ascii="Verdana" w:hAnsi="Verdana" w:cstheme="minorHAnsi"/>
          <w:color w:val="000000"/>
          <w:sz w:val="22"/>
          <w:szCs w:val="22"/>
        </w:rPr>
        <w:t xml:space="preserve">reach </w:t>
      </w:r>
      <w:r w:rsidRPr="003E1A64">
        <w:rPr>
          <w:rFonts w:ascii="Verdana" w:hAnsi="Verdana" w:cstheme="minorHAnsi"/>
          <w:color w:val="000000"/>
          <w:sz w:val="22"/>
          <w:szCs w:val="22"/>
        </w:rPr>
        <w:t>2</w:t>
      </w:r>
      <w:r w:rsidR="00C56B91">
        <w:rPr>
          <w:rFonts w:ascii="Verdana" w:hAnsi="Verdana" w:cstheme="minorHAnsi"/>
          <w:color w:val="000000"/>
          <w:sz w:val="22"/>
          <w:szCs w:val="22"/>
        </w:rPr>
        <w:t>5</w:t>
      </w:r>
      <w:r w:rsidRPr="003E1A64">
        <w:rPr>
          <w:rFonts w:ascii="Verdana" w:hAnsi="Verdana"/>
          <w:sz w:val="22"/>
          <w:szCs w:val="22"/>
        </w:rPr>
        <w:t>,000</w:t>
      </w:r>
      <w:r w:rsidR="001900B1">
        <w:rPr>
          <w:rFonts w:ascii="Verdana" w:hAnsi="Verdana"/>
          <w:sz w:val="22"/>
          <w:szCs w:val="22"/>
        </w:rPr>
        <w:t xml:space="preserve">+ </w:t>
      </w:r>
      <w:proofErr w:type="spellStart"/>
      <w:r w:rsidRPr="003E1A64">
        <w:rPr>
          <w:rFonts w:ascii="Verdana" w:hAnsi="Verdana"/>
          <w:sz w:val="22"/>
          <w:szCs w:val="22"/>
        </w:rPr>
        <w:t>cdsq.m</w:t>
      </w:r>
      <w:proofErr w:type="spellEnd"/>
      <w:r w:rsidRPr="003E1A64">
        <w:rPr>
          <w:rFonts w:ascii="Verdana" w:hAnsi="Verdana"/>
          <w:sz w:val="22"/>
          <w:szCs w:val="22"/>
        </w:rPr>
        <w:t>.  The displays have an in</w:t>
      </w:r>
      <w:r>
        <w:rPr>
          <w:rFonts w:ascii="Verdana" w:hAnsi="Verdana"/>
          <w:sz w:val="22"/>
          <w:szCs w:val="22"/>
        </w:rPr>
        <w:t>-</w:t>
      </w:r>
      <w:r w:rsidRPr="003E1A64">
        <w:rPr>
          <w:rFonts w:ascii="Verdana" w:hAnsi="Verdana"/>
          <w:sz w:val="22"/>
          <w:szCs w:val="22"/>
        </w:rPr>
        <w:t xml:space="preserve">built sensor </w:t>
      </w:r>
      <w:r>
        <w:rPr>
          <w:rFonts w:ascii="Verdana" w:hAnsi="Verdana"/>
          <w:sz w:val="22"/>
          <w:szCs w:val="22"/>
        </w:rPr>
        <w:t xml:space="preserve">system </w:t>
      </w:r>
      <w:r w:rsidRPr="00941CA6">
        <w:rPr>
          <w:rFonts w:ascii="Verdana" w:hAnsi="Verdana"/>
          <w:sz w:val="22"/>
          <w:szCs w:val="22"/>
          <w:lang w:eastAsia="en-GB"/>
        </w:rPr>
        <w:t xml:space="preserve">which </w:t>
      </w:r>
      <w:r>
        <w:rPr>
          <w:rFonts w:ascii="Verdana" w:hAnsi="Verdana"/>
          <w:sz w:val="22"/>
          <w:szCs w:val="22"/>
          <w:lang w:eastAsia="en-GB"/>
        </w:rPr>
        <w:t>reads</w:t>
      </w:r>
      <w:r w:rsidRPr="005767C8">
        <w:rPr>
          <w:rFonts w:ascii="Verdana" w:hAnsi="Verdana"/>
          <w:color w:val="000000"/>
          <w:sz w:val="22"/>
          <w:szCs w:val="22"/>
        </w:rPr>
        <w:t xml:space="preserve"> </w:t>
      </w:r>
      <w:r>
        <w:rPr>
          <w:rFonts w:ascii="Verdana" w:hAnsi="Verdana"/>
          <w:color w:val="000000"/>
          <w:sz w:val="22"/>
          <w:szCs w:val="22"/>
        </w:rPr>
        <w:t xml:space="preserve">the </w:t>
      </w:r>
      <w:r w:rsidRPr="005767C8">
        <w:rPr>
          <w:rFonts w:ascii="Verdana" w:hAnsi="Verdana"/>
          <w:color w:val="000000"/>
          <w:sz w:val="22"/>
          <w:szCs w:val="22"/>
        </w:rPr>
        <w:t>ambient light</w:t>
      </w:r>
      <w:r>
        <w:rPr>
          <w:rFonts w:ascii="Verdana" w:hAnsi="Verdana"/>
          <w:color w:val="000000"/>
          <w:sz w:val="22"/>
          <w:szCs w:val="22"/>
        </w:rPr>
        <w:t xml:space="preserve"> level and </w:t>
      </w:r>
      <w:r w:rsidRPr="00941CA6">
        <w:rPr>
          <w:rFonts w:ascii="Verdana" w:hAnsi="Verdana"/>
          <w:sz w:val="22"/>
          <w:szCs w:val="22"/>
          <w:lang w:eastAsia="en-GB"/>
        </w:rPr>
        <w:t>ad</w:t>
      </w:r>
      <w:r>
        <w:rPr>
          <w:rFonts w:ascii="Verdana" w:hAnsi="Verdana"/>
          <w:sz w:val="22"/>
          <w:szCs w:val="22"/>
          <w:lang w:eastAsia="en-GB"/>
        </w:rPr>
        <w:t>justs the display luminance</w:t>
      </w:r>
      <w:r w:rsidRPr="00941CA6">
        <w:rPr>
          <w:rFonts w:ascii="Verdana" w:hAnsi="Verdana"/>
          <w:sz w:val="22"/>
          <w:szCs w:val="22"/>
          <w:lang w:eastAsia="en-GB"/>
        </w:rPr>
        <w:t xml:space="preserve"> to </w:t>
      </w:r>
      <w:r>
        <w:rPr>
          <w:rFonts w:ascii="Verdana" w:hAnsi="Verdana"/>
          <w:sz w:val="22"/>
          <w:szCs w:val="22"/>
          <w:lang w:eastAsia="en-GB"/>
        </w:rPr>
        <w:t xml:space="preserve">that </w:t>
      </w:r>
      <w:r w:rsidRPr="00941CA6">
        <w:rPr>
          <w:rFonts w:ascii="Verdana" w:hAnsi="Verdana"/>
          <w:sz w:val="22"/>
          <w:szCs w:val="22"/>
          <w:lang w:eastAsia="en-GB"/>
        </w:rPr>
        <w:t>level</w:t>
      </w:r>
      <w:r>
        <w:rPr>
          <w:rFonts w:ascii="Verdana" w:hAnsi="Verdana"/>
          <w:sz w:val="22"/>
          <w:szCs w:val="22"/>
          <w:lang w:eastAsia="en-GB"/>
        </w:rPr>
        <w:t xml:space="preserve">.  </w:t>
      </w:r>
      <w:r w:rsidRPr="003E1A64">
        <w:rPr>
          <w:rFonts w:ascii="Verdana" w:hAnsi="Verdana" w:cstheme="minorHAnsi"/>
          <w:sz w:val="22"/>
          <w:szCs w:val="22"/>
        </w:rPr>
        <w:t xml:space="preserve">When ambient light levels are lower, the sensor </w:t>
      </w:r>
      <w:r>
        <w:rPr>
          <w:rFonts w:ascii="Verdana" w:hAnsi="Verdana" w:cstheme="minorHAnsi"/>
          <w:sz w:val="22"/>
          <w:szCs w:val="22"/>
        </w:rPr>
        <w:t xml:space="preserve">system </w:t>
      </w:r>
      <w:r w:rsidRPr="003E1A64">
        <w:rPr>
          <w:rFonts w:ascii="Verdana" w:hAnsi="Verdana" w:cstheme="minorHAnsi"/>
          <w:sz w:val="22"/>
          <w:szCs w:val="22"/>
        </w:rPr>
        <w:t>adjusts the displays to</w:t>
      </w:r>
      <w:r>
        <w:rPr>
          <w:rFonts w:ascii="Verdana" w:hAnsi="Verdana" w:cstheme="minorHAnsi"/>
          <w:sz w:val="22"/>
          <w:szCs w:val="22"/>
        </w:rPr>
        <w:t xml:space="preserve"> </w:t>
      </w:r>
      <w:r w:rsidRPr="003E1A64">
        <w:rPr>
          <w:rFonts w:ascii="Verdana" w:hAnsi="Verdana" w:cstheme="minorHAnsi"/>
          <w:sz w:val="22"/>
          <w:szCs w:val="22"/>
        </w:rPr>
        <w:t>lower luminance levels.  Conversely, when ambient light levels are higher (</w:t>
      </w:r>
      <w:proofErr w:type="spellStart"/>
      <w:r w:rsidR="00FF0D09">
        <w:rPr>
          <w:rFonts w:ascii="Verdana" w:hAnsi="Verdana" w:cstheme="minorHAnsi"/>
          <w:sz w:val="22"/>
          <w:szCs w:val="22"/>
        </w:rPr>
        <w:t>eg.</w:t>
      </w:r>
      <w:proofErr w:type="spellEnd"/>
      <w:r w:rsidR="00FF0D09">
        <w:rPr>
          <w:rFonts w:ascii="Verdana" w:hAnsi="Verdana" w:cstheme="minorHAnsi"/>
          <w:sz w:val="22"/>
          <w:szCs w:val="22"/>
        </w:rPr>
        <w:t xml:space="preserve"> </w:t>
      </w:r>
      <w:r w:rsidRPr="003E1A64">
        <w:rPr>
          <w:rFonts w:ascii="Verdana" w:hAnsi="Verdana" w:cstheme="minorHAnsi"/>
          <w:sz w:val="22"/>
          <w:szCs w:val="22"/>
        </w:rPr>
        <w:t>on bright sunny days), the sensor</w:t>
      </w:r>
      <w:r>
        <w:rPr>
          <w:rFonts w:ascii="Verdana" w:hAnsi="Verdana" w:cstheme="minorHAnsi"/>
          <w:sz w:val="22"/>
          <w:szCs w:val="22"/>
        </w:rPr>
        <w:t xml:space="preserve"> system</w:t>
      </w:r>
      <w:r w:rsidRPr="003E1A64">
        <w:rPr>
          <w:rFonts w:ascii="Verdana" w:hAnsi="Verdana" w:cstheme="minorHAnsi"/>
          <w:sz w:val="22"/>
          <w:szCs w:val="22"/>
        </w:rPr>
        <w:t xml:space="preserve"> adjusts the displays to higher luminance levels to enable them to be effective (</w:t>
      </w:r>
      <w:r w:rsidR="001900B1">
        <w:rPr>
          <w:rFonts w:ascii="Verdana" w:hAnsi="Verdana" w:cstheme="minorHAnsi"/>
          <w:sz w:val="22"/>
          <w:szCs w:val="22"/>
        </w:rPr>
        <w:t xml:space="preserve">i.e. </w:t>
      </w:r>
      <w:r w:rsidRPr="003E1A64">
        <w:rPr>
          <w:rFonts w:ascii="Verdana" w:hAnsi="Verdana" w:cstheme="minorHAnsi"/>
          <w:sz w:val="22"/>
          <w:szCs w:val="22"/>
        </w:rPr>
        <w:t xml:space="preserve">readily visible) in the higher ambient light conditions.  Given that ambient light </w:t>
      </w:r>
      <w:r w:rsidR="002A3EB5">
        <w:rPr>
          <w:rFonts w:ascii="Verdana" w:hAnsi="Verdana" w:cstheme="minorHAnsi"/>
          <w:sz w:val="22"/>
          <w:szCs w:val="22"/>
        </w:rPr>
        <w:t xml:space="preserve">reaches high </w:t>
      </w:r>
      <w:r w:rsidRPr="003E1A64">
        <w:rPr>
          <w:rFonts w:ascii="Verdana" w:hAnsi="Verdana" w:cstheme="minorHAnsi"/>
          <w:sz w:val="22"/>
          <w:szCs w:val="22"/>
        </w:rPr>
        <w:t xml:space="preserve">levels during the year, typically but not exclusively in the spring and summer months, it is </w:t>
      </w:r>
      <w:r w:rsidR="00577F3A">
        <w:rPr>
          <w:rFonts w:ascii="Verdana" w:hAnsi="Verdana" w:cstheme="minorHAnsi"/>
          <w:sz w:val="22"/>
          <w:szCs w:val="22"/>
        </w:rPr>
        <w:t xml:space="preserve">both </w:t>
      </w:r>
      <w:r w:rsidRPr="003E1A64" w:rsidR="00577F3A">
        <w:rPr>
          <w:rFonts w:ascii="Verdana" w:hAnsi="Verdana"/>
          <w:sz w:val="22"/>
          <w:szCs w:val="22"/>
        </w:rPr>
        <w:t xml:space="preserve">necessary </w:t>
      </w:r>
      <w:r w:rsidR="00577F3A">
        <w:rPr>
          <w:rFonts w:ascii="Verdana" w:hAnsi="Verdana"/>
          <w:sz w:val="22"/>
          <w:szCs w:val="22"/>
        </w:rPr>
        <w:t xml:space="preserve">and </w:t>
      </w:r>
      <w:r w:rsidRPr="003E1A64">
        <w:rPr>
          <w:rFonts w:ascii="Verdana" w:hAnsi="Verdana"/>
          <w:sz w:val="22"/>
          <w:szCs w:val="22"/>
        </w:rPr>
        <w:t xml:space="preserve">reasonable that </w:t>
      </w:r>
      <w:r>
        <w:rPr>
          <w:rFonts w:ascii="Verdana" w:hAnsi="Verdana"/>
          <w:sz w:val="22"/>
          <w:szCs w:val="22"/>
        </w:rPr>
        <w:t xml:space="preserve">at these times, </w:t>
      </w:r>
      <w:r w:rsidRPr="003E1A64">
        <w:rPr>
          <w:rFonts w:ascii="Verdana" w:hAnsi="Verdana"/>
          <w:sz w:val="22"/>
          <w:szCs w:val="22"/>
        </w:rPr>
        <w:t>when so required</w:t>
      </w:r>
      <w:r>
        <w:rPr>
          <w:rFonts w:ascii="Verdana" w:hAnsi="Verdana"/>
          <w:sz w:val="22"/>
          <w:szCs w:val="22"/>
        </w:rPr>
        <w:t>,</w:t>
      </w:r>
      <w:r w:rsidRPr="003E1A64">
        <w:rPr>
          <w:rFonts w:ascii="Verdana" w:hAnsi="Verdana"/>
          <w:sz w:val="22"/>
          <w:szCs w:val="22"/>
        </w:rPr>
        <w:t xml:space="preserve"> the displays operate at luminance levels which enable them to be effective </w:t>
      </w:r>
      <w:r>
        <w:rPr>
          <w:rFonts w:ascii="Verdana" w:hAnsi="Verdana"/>
          <w:sz w:val="22"/>
          <w:szCs w:val="22"/>
        </w:rPr>
        <w:t>(</w:t>
      </w:r>
      <w:r w:rsidRPr="003E1A64">
        <w:rPr>
          <w:rFonts w:ascii="Verdana" w:hAnsi="Verdana"/>
          <w:sz w:val="22"/>
          <w:szCs w:val="22"/>
        </w:rPr>
        <w:t>i.e. readily visible</w:t>
      </w:r>
      <w:r>
        <w:rPr>
          <w:rFonts w:ascii="Verdana" w:hAnsi="Verdana"/>
          <w:sz w:val="22"/>
          <w:szCs w:val="22"/>
        </w:rPr>
        <w:t>)</w:t>
      </w:r>
      <w:r w:rsidRPr="003E1A64">
        <w:rPr>
          <w:rFonts w:ascii="Verdana" w:hAnsi="Verdana"/>
          <w:sz w:val="22"/>
          <w:szCs w:val="22"/>
        </w:rPr>
        <w:t xml:space="preserve"> in those </w:t>
      </w:r>
      <w:r w:rsidR="00AC5BC4">
        <w:rPr>
          <w:rFonts w:ascii="Verdana" w:hAnsi="Verdana"/>
          <w:sz w:val="22"/>
          <w:szCs w:val="22"/>
        </w:rPr>
        <w:t xml:space="preserve">ambient light </w:t>
      </w:r>
      <w:r w:rsidRPr="003E1A64">
        <w:rPr>
          <w:rFonts w:ascii="Verdana" w:hAnsi="Verdana"/>
          <w:sz w:val="22"/>
          <w:szCs w:val="22"/>
        </w:rPr>
        <w:t>conditions.</w:t>
      </w:r>
    </w:p>
    <w:p w:rsidRPr="003E1A64" w:rsidR="0044057B" w:rsidP="0044057B" w:rsidRDefault="0044057B" w14:paraId="4D508A4F" w14:textId="77777777">
      <w:pPr>
        <w:autoSpaceDE w:val="0"/>
        <w:autoSpaceDN w:val="0"/>
        <w:adjustRightInd w:val="0"/>
        <w:ind w:left="567" w:hanging="567"/>
        <w:jc w:val="both"/>
        <w:rPr>
          <w:rFonts w:ascii="Verdana" w:hAnsi="Verdana" w:cs="CIDFont+F2" w:eastAsiaTheme="minorHAnsi"/>
          <w:color w:val="000000" w:themeColor="text1"/>
          <w:sz w:val="22"/>
          <w:szCs w:val="22"/>
          <w:lang w:val="en-GB"/>
        </w:rPr>
      </w:pPr>
    </w:p>
    <w:p w:rsidR="0044057B" w:rsidP="0044057B" w:rsidRDefault="0044057B" w14:paraId="25D6D430" w14:textId="38CA98B7">
      <w:pPr>
        <w:autoSpaceDE w:val="0"/>
        <w:autoSpaceDN w:val="0"/>
        <w:adjustRightInd w:val="0"/>
        <w:ind w:left="567" w:hanging="567"/>
        <w:jc w:val="both"/>
        <w:rPr>
          <w:rFonts w:ascii="Verdana" w:hAnsi="Verdana" w:cstheme="minorHAnsi"/>
          <w:sz w:val="22"/>
          <w:szCs w:val="22"/>
        </w:rPr>
      </w:pPr>
      <w:r>
        <w:rPr>
          <w:rFonts w:ascii="Verdana" w:hAnsi="Verdana" w:cs="CIDFont+F2" w:eastAsiaTheme="minorHAnsi"/>
          <w:color w:val="000000" w:themeColor="text1"/>
          <w:sz w:val="22"/>
          <w:szCs w:val="22"/>
          <w:lang w:val="en-GB"/>
        </w:rPr>
        <w:t>5.9</w:t>
      </w:r>
      <w:r>
        <w:rPr>
          <w:rFonts w:ascii="Verdana" w:hAnsi="Verdana" w:cs="CIDFont+F2" w:eastAsiaTheme="minorHAnsi"/>
          <w:color w:val="000000" w:themeColor="text1"/>
          <w:sz w:val="22"/>
          <w:szCs w:val="22"/>
          <w:lang w:val="en-GB"/>
        </w:rPr>
        <w:tab/>
      </w:r>
      <w:r w:rsidRPr="003E1A64">
        <w:rPr>
          <w:rFonts w:ascii="Verdana" w:hAnsi="Verdana" w:cs="CIDFont+F2" w:eastAsiaTheme="minorHAnsi"/>
          <w:color w:val="000000" w:themeColor="text1"/>
          <w:sz w:val="22"/>
          <w:szCs w:val="22"/>
          <w:lang w:val="en-GB"/>
        </w:rPr>
        <w:t xml:space="preserve">For information, on bright </w:t>
      </w:r>
      <w:r>
        <w:rPr>
          <w:rFonts w:ascii="Verdana" w:hAnsi="Verdana" w:cs="CIDFont+F2" w:eastAsiaTheme="minorHAnsi"/>
          <w:color w:val="000000" w:themeColor="text1"/>
          <w:sz w:val="22"/>
          <w:szCs w:val="22"/>
          <w:lang w:val="en-GB"/>
        </w:rPr>
        <w:t xml:space="preserve">sunny </w:t>
      </w:r>
      <w:r w:rsidRPr="003E1A64">
        <w:rPr>
          <w:rFonts w:ascii="Verdana" w:hAnsi="Verdana" w:cs="CIDFont+F2" w:eastAsiaTheme="minorHAnsi"/>
          <w:color w:val="000000" w:themeColor="text1"/>
          <w:sz w:val="22"/>
          <w:szCs w:val="22"/>
          <w:lang w:val="en-GB"/>
        </w:rPr>
        <w:t>days, average luminance of bright colours within advertisements is around 2</w:t>
      </w:r>
      <w:r>
        <w:rPr>
          <w:rFonts w:ascii="Verdana" w:hAnsi="Verdana" w:cs="CIDFont+F2" w:eastAsiaTheme="minorHAnsi"/>
          <w:color w:val="000000" w:themeColor="text1"/>
          <w:sz w:val="22"/>
          <w:szCs w:val="22"/>
          <w:lang w:val="en-GB"/>
        </w:rPr>
        <w:t>,</w:t>
      </w:r>
      <w:r w:rsidRPr="003E1A64">
        <w:rPr>
          <w:rFonts w:ascii="Verdana" w:hAnsi="Verdana" w:cs="CIDFont+F2" w:eastAsiaTheme="minorHAnsi"/>
          <w:color w:val="000000" w:themeColor="text1"/>
          <w:sz w:val="22"/>
          <w:szCs w:val="22"/>
          <w:lang w:val="en-GB"/>
        </w:rPr>
        <w:t xml:space="preserve">500 </w:t>
      </w:r>
      <w:proofErr w:type="spellStart"/>
      <w:r w:rsidRPr="003E1A64">
        <w:rPr>
          <w:rFonts w:ascii="Verdana" w:hAnsi="Verdana" w:cs="CIDFont+F2" w:eastAsiaTheme="minorHAnsi"/>
          <w:color w:val="000000" w:themeColor="text1"/>
          <w:sz w:val="22"/>
          <w:szCs w:val="22"/>
          <w:lang w:val="en-GB"/>
        </w:rPr>
        <w:t>cdsq.m</w:t>
      </w:r>
      <w:proofErr w:type="spellEnd"/>
      <w:r w:rsidRPr="003E1A64">
        <w:rPr>
          <w:rFonts w:ascii="Verdana" w:hAnsi="Verdana" w:cs="CIDFont+F2" w:eastAsiaTheme="minorHAnsi"/>
          <w:color w:val="000000" w:themeColor="text1"/>
          <w:sz w:val="22"/>
          <w:szCs w:val="22"/>
          <w:lang w:val="en-GB"/>
        </w:rPr>
        <w:t>.</w:t>
      </w:r>
      <w:r>
        <w:rPr>
          <w:rFonts w:ascii="Verdana" w:hAnsi="Verdana" w:cs="CIDFont+F2" w:eastAsiaTheme="minorHAnsi"/>
          <w:color w:val="000000" w:themeColor="text1"/>
          <w:sz w:val="22"/>
          <w:szCs w:val="22"/>
          <w:lang w:val="en-GB"/>
        </w:rPr>
        <w:t xml:space="preserve"> </w:t>
      </w:r>
      <w:r w:rsidR="006931D6">
        <w:rPr>
          <w:rFonts w:ascii="Verdana" w:hAnsi="Verdana" w:cs="CIDFont+F2" w:eastAsiaTheme="minorHAnsi"/>
          <w:color w:val="000000" w:themeColor="text1"/>
          <w:sz w:val="22"/>
          <w:szCs w:val="22"/>
          <w:lang w:val="en-GB"/>
        </w:rPr>
        <w:t xml:space="preserve"> </w:t>
      </w:r>
      <w:r w:rsidRPr="003E1A64">
        <w:rPr>
          <w:rFonts w:ascii="Verdana" w:hAnsi="Verdana" w:cs="CIDFont+F2" w:eastAsiaTheme="minorHAnsi"/>
          <w:color w:val="000000" w:themeColor="text1"/>
          <w:sz w:val="22"/>
          <w:szCs w:val="22"/>
          <w:lang w:val="en-GB"/>
        </w:rPr>
        <w:t xml:space="preserve">The </w:t>
      </w:r>
      <w:r>
        <w:rPr>
          <w:rFonts w:ascii="Verdana" w:hAnsi="Verdana" w:cs="CIDFont+F2" w:eastAsiaTheme="minorHAnsi"/>
          <w:color w:val="000000" w:themeColor="text1"/>
          <w:sz w:val="22"/>
          <w:szCs w:val="22"/>
          <w:lang w:val="en-GB"/>
        </w:rPr>
        <w:t>S</w:t>
      </w:r>
      <w:r w:rsidRPr="003E1A64">
        <w:rPr>
          <w:rFonts w:ascii="Verdana" w:hAnsi="Verdana" w:cs="CIDFont+F2" w:eastAsiaTheme="minorHAnsi"/>
          <w:color w:val="000000" w:themeColor="text1"/>
          <w:sz w:val="22"/>
          <w:szCs w:val="22"/>
          <w:lang w:val="en-GB"/>
        </w:rPr>
        <w:t xml:space="preserve">pecification </w:t>
      </w:r>
      <w:r>
        <w:rPr>
          <w:rFonts w:ascii="Verdana" w:hAnsi="Verdana" w:cs="CIDFont+F2" w:eastAsiaTheme="minorHAnsi"/>
          <w:color w:val="000000" w:themeColor="text1"/>
          <w:sz w:val="22"/>
          <w:szCs w:val="22"/>
          <w:lang w:val="en-GB"/>
        </w:rPr>
        <w:t xml:space="preserve">document accompanying the application </w:t>
      </w:r>
      <w:r w:rsidRPr="003E1A64">
        <w:rPr>
          <w:rFonts w:ascii="Verdana" w:hAnsi="Verdana" w:cs="CIDFont+F2" w:eastAsiaTheme="minorHAnsi"/>
          <w:color w:val="000000" w:themeColor="text1"/>
          <w:sz w:val="22"/>
          <w:szCs w:val="22"/>
          <w:lang w:val="en-GB"/>
        </w:rPr>
        <w:t>states</w:t>
      </w:r>
      <w:r>
        <w:rPr>
          <w:rFonts w:ascii="Verdana" w:hAnsi="Verdana" w:cs="CIDFont+F2" w:eastAsiaTheme="minorHAnsi"/>
          <w:color w:val="000000" w:themeColor="text1"/>
          <w:sz w:val="22"/>
          <w:szCs w:val="22"/>
          <w:lang w:val="en-GB"/>
        </w:rPr>
        <w:t>,</w:t>
      </w:r>
      <w:r w:rsidRPr="003E1A64">
        <w:rPr>
          <w:rFonts w:ascii="Verdana" w:hAnsi="Verdana" w:cs="CIDFont+F2" w:eastAsiaTheme="minorHAnsi"/>
          <w:color w:val="000000" w:themeColor="text1"/>
          <w:sz w:val="22"/>
          <w:szCs w:val="22"/>
          <w:lang w:val="en-GB"/>
        </w:rPr>
        <w:t xml:space="preserve"> the maximum</w:t>
      </w:r>
      <w:r>
        <w:rPr>
          <w:rFonts w:ascii="Verdana" w:hAnsi="Verdana" w:cs="CIDFont+F2" w:eastAsiaTheme="minorHAnsi"/>
          <w:color w:val="000000" w:themeColor="text1"/>
          <w:sz w:val="22"/>
          <w:szCs w:val="22"/>
          <w:lang w:val="en-GB"/>
        </w:rPr>
        <w:t xml:space="preserve"> </w:t>
      </w:r>
      <w:r w:rsidRPr="003E1A64">
        <w:rPr>
          <w:rFonts w:ascii="Verdana" w:hAnsi="Verdana" w:cs="CIDFont+F2" w:eastAsiaTheme="minorHAnsi"/>
          <w:color w:val="000000" w:themeColor="text1"/>
          <w:sz w:val="22"/>
          <w:szCs w:val="22"/>
          <w:lang w:val="en-GB"/>
        </w:rPr>
        <w:t xml:space="preserve">Day time luminance </w:t>
      </w:r>
      <w:r>
        <w:rPr>
          <w:rFonts w:ascii="Verdana" w:hAnsi="Verdana" w:cs="CIDFont+F2" w:eastAsiaTheme="minorHAnsi"/>
          <w:color w:val="000000" w:themeColor="text1"/>
          <w:sz w:val="22"/>
          <w:szCs w:val="22"/>
          <w:lang w:val="en-GB"/>
        </w:rPr>
        <w:t>for</w:t>
      </w:r>
      <w:r w:rsidRPr="003E1A64">
        <w:rPr>
          <w:rFonts w:ascii="Verdana" w:hAnsi="Verdana" w:cs="CIDFont+F2" w:eastAsiaTheme="minorHAnsi"/>
          <w:color w:val="000000" w:themeColor="text1"/>
          <w:sz w:val="22"/>
          <w:szCs w:val="22"/>
          <w:lang w:val="en-GB"/>
        </w:rPr>
        <w:t xml:space="preserve"> displaying </w:t>
      </w:r>
      <w:r>
        <w:rPr>
          <w:rFonts w:ascii="Verdana" w:hAnsi="Verdana" w:cs="CIDFont+F2" w:eastAsiaTheme="minorHAnsi"/>
          <w:color w:val="000000" w:themeColor="text1"/>
          <w:sz w:val="22"/>
          <w:szCs w:val="22"/>
          <w:lang w:val="en-GB"/>
        </w:rPr>
        <w:t xml:space="preserve">full </w:t>
      </w:r>
      <w:r w:rsidRPr="003E1A64">
        <w:rPr>
          <w:rFonts w:ascii="Verdana" w:hAnsi="Verdana" w:cs="CIDFont+F2" w:eastAsiaTheme="minorHAnsi"/>
          <w:color w:val="000000" w:themeColor="text1"/>
          <w:sz w:val="22"/>
          <w:szCs w:val="22"/>
          <w:lang w:val="en-GB"/>
        </w:rPr>
        <w:t>white</w:t>
      </w:r>
      <w:r>
        <w:rPr>
          <w:rFonts w:ascii="Verdana" w:hAnsi="Verdana" w:cs="CIDFont+F2" w:eastAsiaTheme="minorHAnsi"/>
          <w:color w:val="000000" w:themeColor="text1"/>
          <w:sz w:val="22"/>
          <w:szCs w:val="22"/>
          <w:lang w:val="en-GB"/>
        </w:rPr>
        <w:t xml:space="preserve"> </w:t>
      </w:r>
      <w:r w:rsidRPr="003E1A64">
        <w:rPr>
          <w:rFonts w:ascii="Verdana" w:hAnsi="Verdana" w:cs="CIDFont+F2" w:eastAsiaTheme="minorHAnsi"/>
          <w:color w:val="000000" w:themeColor="text1"/>
          <w:sz w:val="22"/>
          <w:szCs w:val="22"/>
          <w:lang w:val="en-GB"/>
        </w:rPr>
        <w:t>(which is the brightest</w:t>
      </w:r>
      <w:r w:rsidR="009D3C17">
        <w:rPr>
          <w:rFonts w:ascii="Verdana" w:hAnsi="Verdana" w:cs="CIDFont+F2" w:eastAsiaTheme="minorHAnsi"/>
          <w:color w:val="000000" w:themeColor="text1"/>
          <w:sz w:val="22"/>
          <w:szCs w:val="22"/>
          <w:lang w:val="en-GB"/>
        </w:rPr>
        <w:t xml:space="preserve"> of the colour palette</w:t>
      </w:r>
      <w:r w:rsidRPr="003E1A64">
        <w:rPr>
          <w:rFonts w:ascii="Verdana" w:hAnsi="Verdana" w:cs="CIDFont+F2" w:eastAsiaTheme="minorHAnsi"/>
          <w:color w:val="000000" w:themeColor="text1"/>
          <w:sz w:val="22"/>
          <w:szCs w:val="22"/>
          <w:lang w:val="en-GB"/>
        </w:rPr>
        <w:t xml:space="preserve">) is </w:t>
      </w:r>
      <w:r w:rsidRPr="003E1A64">
        <w:rPr>
          <w:rFonts w:ascii="Verdana" w:hAnsi="Verdana" w:cs="CIDFont+F1" w:eastAsiaTheme="minorHAnsi"/>
          <w:color w:val="000000" w:themeColor="text1"/>
          <w:sz w:val="22"/>
          <w:szCs w:val="22"/>
          <w:lang w:val="en-GB"/>
        </w:rPr>
        <w:t>3</w:t>
      </w:r>
      <w:r>
        <w:rPr>
          <w:rFonts w:ascii="Verdana" w:hAnsi="Verdana" w:cs="CIDFont+F1" w:eastAsiaTheme="minorHAnsi"/>
          <w:color w:val="000000" w:themeColor="text1"/>
          <w:sz w:val="22"/>
          <w:szCs w:val="22"/>
          <w:lang w:val="en-GB"/>
        </w:rPr>
        <w:t>,</w:t>
      </w:r>
      <w:r w:rsidRPr="003E1A64">
        <w:rPr>
          <w:rFonts w:ascii="Verdana" w:hAnsi="Verdana" w:cs="CIDFont+F1" w:eastAsiaTheme="minorHAnsi"/>
          <w:color w:val="000000" w:themeColor="text1"/>
          <w:sz w:val="22"/>
          <w:szCs w:val="22"/>
          <w:lang w:val="en-GB"/>
        </w:rPr>
        <w:t xml:space="preserve">500 </w:t>
      </w:r>
      <w:proofErr w:type="spellStart"/>
      <w:r w:rsidRPr="003E1A64">
        <w:rPr>
          <w:rFonts w:ascii="Verdana" w:hAnsi="Verdana" w:cs="CIDFont+F1" w:eastAsiaTheme="minorHAnsi"/>
          <w:color w:val="000000" w:themeColor="text1"/>
          <w:sz w:val="22"/>
          <w:szCs w:val="22"/>
          <w:lang w:val="en-GB"/>
        </w:rPr>
        <w:t>cdsq.m</w:t>
      </w:r>
      <w:proofErr w:type="spellEnd"/>
      <w:r w:rsidRPr="003E1A64">
        <w:rPr>
          <w:rFonts w:ascii="Verdana" w:hAnsi="Verdana" w:cs="CIDFont+F1" w:eastAsiaTheme="minorHAnsi"/>
          <w:color w:val="000000" w:themeColor="text1"/>
          <w:sz w:val="22"/>
          <w:szCs w:val="22"/>
          <w:lang w:val="en-GB"/>
        </w:rPr>
        <w:t xml:space="preserve">.  This </w:t>
      </w:r>
      <w:r>
        <w:rPr>
          <w:rFonts w:ascii="Verdana" w:hAnsi="Verdana" w:cs="CIDFont+F1" w:eastAsiaTheme="minorHAnsi"/>
          <w:color w:val="000000" w:themeColor="text1"/>
          <w:sz w:val="22"/>
          <w:szCs w:val="22"/>
          <w:lang w:val="en-GB"/>
        </w:rPr>
        <w:t>value, which is the maximum potential luminance during daytime, is</w:t>
      </w:r>
      <w:r w:rsidRPr="003E1A64">
        <w:rPr>
          <w:rFonts w:ascii="Verdana" w:hAnsi="Verdana" w:cs="CIDFont+F1" w:eastAsiaTheme="minorHAnsi"/>
          <w:color w:val="000000" w:themeColor="text1"/>
          <w:sz w:val="22"/>
          <w:szCs w:val="22"/>
          <w:lang w:val="en-GB"/>
        </w:rPr>
        <w:t xml:space="preserve"> applicable </w:t>
      </w:r>
      <w:r>
        <w:rPr>
          <w:rFonts w:ascii="Verdana" w:hAnsi="Verdana" w:cs="CIDFont+F1" w:eastAsiaTheme="minorHAnsi"/>
          <w:color w:val="000000" w:themeColor="text1"/>
          <w:sz w:val="22"/>
          <w:szCs w:val="22"/>
          <w:lang w:val="en-GB"/>
        </w:rPr>
        <w:t xml:space="preserve">only </w:t>
      </w:r>
      <w:r w:rsidR="008448A0">
        <w:rPr>
          <w:rFonts w:ascii="Verdana" w:hAnsi="Verdana" w:cs="CIDFont+F1" w:eastAsiaTheme="minorHAnsi"/>
          <w:color w:val="000000" w:themeColor="text1"/>
          <w:sz w:val="22"/>
          <w:szCs w:val="22"/>
          <w:lang w:val="en-GB"/>
        </w:rPr>
        <w:t>with full</w:t>
      </w:r>
      <w:r w:rsidR="00355940">
        <w:rPr>
          <w:rFonts w:ascii="Verdana" w:hAnsi="Verdana" w:cs="CIDFont+F1" w:eastAsiaTheme="minorHAnsi"/>
          <w:color w:val="000000" w:themeColor="text1"/>
          <w:sz w:val="22"/>
          <w:szCs w:val="22"/>
          <w:lang w:val="en-GB"/>
        </w:rPr>
        <w:t xml:space="preserve"> white</w:t>
      </w:r>
      <w:r w:rsidR="00C01369">
        <w:rPr>
          <w:rFonts w:ascii="Verdana" w:hAnsi="Verdana" w:cs="CIDFont+F1" w:eastAsiaTheme="minorHAnsi"/>
          <w:color w:val="000000" w:themeColor="text1"/>
          <w:sz w:val="22"/>
          <w:szCs w:val="22"/>
          <w:lang w:val="en-GB"/>
        </w:rPr>
        <w:t xml:space="preserve"> imagery and only </w:t>
      </w:r>
      <w:r>
        <w:rPr>
          <w:rFonts w:ascii="Verdana" w:hAnsi="Verdana" w:cs="CIDFont+F1" w:eastAsiaTheme="minorHAnsi"/>
          <w:color w:val="000000" w:themeColor="text1"/>
          <w:sz w:val="22"/>
          <w:szCs w:val="22"/>
          <w:lang w:val="en-GB"/>
        </w:rPr>
        <w:t xml:space="preserve">when necessary </w:t>
      </w:r>
      <w:r w:rsidR="00C01369">
        <w:rPr>
          <w:rFonts w:ascii="Verdana" w:hAnsi="Verdana" w:cs="CIDFont+F1" w:eastAsiaTheme="minorHAnsi"/>
          <w:color w:val="000000" w:themeColor="text1"/>
          <w:sz w:val="22"/>
          <w:szCs w:val="22"/>
          <w:lang w:val="en-GB"/>
        </w:rPr>
        <w:t xml:space="preserve">as detected by the </w:t>
      </w:r>
      <w:r w:rsidR="00CB79F8">
        <w:rPr>
          <w:rFonts w:ascii="Verdana" w:hAnsi="Verdana" w:cs="CIDFont+F1" w:eastAsiaTheme="minorHAnsi"/>
          <w:color w:val="000000" w:themeColor="text1"/>
          <w:sz w:val="22"/>
          <w:szCs w:val="22"/>
          <w:lang w:val="en-GB"/>
        </w:rPr>
        <w:t xml:space="preserve">inbuilt </w:t>
      </w:r>
      <w:r w:rsidR="00C01369">
        <w:rPr>
          <w:rFonts w:ascii="Verdana" w:hAnsi="Verdana" w:cs="CIDFont+F1" w:eastAsiaTheme="minorHAnsi"/>
          <w:color w:val="000000" w:themeColor="text1"/>
          <w:sz w:val="22"/>
          <w:szCs w:val="22"/>
          <w:lang w:val="en-GB"/>
        </w:rPr>
        <w:t xml:space="preserve">sensor system, </w:t>
      </w:r>
      <w:r w:rsidR="00B65A41">
        <w:rPr>
          <w:rFonts w:ascii="Verdana" w:hAnsi="Verdana" w:cs="CIDFont+F1" w:eastAsiaTheme="minorHAnsi"/>
          <w:color w:val="000000" w:themeColor="text1"/>
          <w:sz w:val="22"/>
          <w:szCs w:val="22"/>
          <w:lang w:val="en-GB"/>
        </w:rPr>
        <w:t>that is</w:t>
      </w:r>
      <w:r w:rsidR="00C5044A">
        <w:rPr>
          <w:rFonts w:ascii="Verdana" w:hAnsi="Verdana" w:cs="CIDFont+F1" w:eastAsiaTheme="minorHAnsi"/>
          <w:color w:val="000000" w:themeColor="text1"/>
          <w:sz w:val="22"/>
          <w:szCs w:val="22"/>
          <w:lang w:val="en-GB"/>
        </w:rPr>
        <w:t>,</w:t>
      </w:r>
      <w:r w:rsidR="00B65A41">
        <w:rPr>
          <w:rFonts w:ascii="Verdana" w:hAnsi="Verdana" w:cs="CIDFont+F1" w:eastAsiaTheme="minorHAnsi"/>
          <w:color w:val="000000" w:themeColor="text1"/>
          <w:sz w:val="22"/>
          <w:szCs w:val="22"/>
          <w:lang w:val="en-GB"/>
        </w:rPr>
        <w:t xml:space="preserve"> </w:t>
      </w:r>
      <w:r w:rsidRPr="007F3D83">
        <w:rPr>
          <w:rFonts w:ascii="Verdana" w:hAnsi="Verdana" w:cs="CIDFont+F1" w:eastAsiaTheme="minorHAnsi"/>
          <w:color w:val="000000" w:themeColor="text1"/>
          <w:sz w:val="22"/>
          <w:szCs w:val="22"/>
          <w:lang w:val="en-GB"/>
        </w:rPr>
        <w:t xml:space="preserve">in very bright </w:t>
      </w:r>
      <w:r w:rsidR="00B65A41">
        <w:rPr>
          <w:rFonts w:ascii="Verdana" w:hAnsi="Verdana" w:cs="CIDFont+F1" w:eastAsiaTheme="minorHAnsi"/>
          <w:color w:val="000000" w:themeColor="text1"/>
          <w:sz w:val="22"/>
          <w:szCs w:val="22"/>
          <w:lang w:val="en-GB"/>
        </w:rPr>
        <w:t xml:space="preserve">and sunny </w:t>
      </w:r>
      <w:r w:rsidRPr="007F3D83">
        <w:rPr>
          <w:rFonts w:ascii="Verdana" w:hAnsi="Verdana" w:cs="CIDFont+F1" w:eastAsiaTheme="minorHAnsi"/>
          <w:color w:val="000000" w:themeColor="text1"/>
          <w:sz w:val="22"/>
          <w:szCs w:val="22"/>
          <w:lang w:val="en-GB"/>
        </w:rPr>
        <w:t xml:space="preserve">ambient light conditions.  </w:t>
      </w:r>
      <w:r w:rsidR="005A01A7">
        <w:rPr>
          <w:rFonts w:ascii="Verdana" w:hAnsi="Verdana" w:cs="CIDFont+F1" w:eastAsiaTheme="minorHAnsi"/>
          <w:color w:val="000000" w:themeColor="text1"/>
          <w:sz w:val="22"/>
          <w:szCs w:val="22"/>
          <w:lang w:val="en-GB"/>
        </w:rPr>
        <w:t xml:space="preserve">NB. </w:t>
      </w:r>
      <w:r w:rsidR="00000593">
        <w:rPr>
          <w:rFonts w:ascii="Verdana" w:hAnsi="Verdana" w:cs="CIDFont+F1" w:eastAsiaTheme="minorHAnsi"/>
          <w:color w:val="000000" w:themeColor="text1"/>
          <w:sz w:val="22"/>
          <w:szCs w:val="22"/>
          <w:lang w:val="en-GB"/>
        </w:rPr>
        <w:t>T</w:t>
      </w:r>
      <w:r w:rsidR="006D668F">
        <w:rPr>
          <w:rFonts w:ascii="Verdana" w:hAnsi="Verdana" w:cs="CIDFont+F1" w:eastAsiaTheme="minorHAnsi"/>
          <w:color w:val="000000" w:themeColor="text1"/>
          <w:sz w:val="22"/>
          <w:szCs w:val="22"/>
          <w:lang w:val="en-GB"/>
        </w:rPr>
        <w:t xml:space="preserve">his </w:t>
      </w:r>
      <w:r w:rsidR="005A01A7">
        <w:rPr>
          <w:rFonts w:ascii="Verdana" w:hAnsi="Verdana" w:cs="CIDFont+F1" w:eastAsiaTheme="minorHAnsi"/>
          <w:color w:val="000000" w:themeColor="text1"/>
          <w:sz w:val="22"/>
          <w:szCs w:val="22"/>
          <w:lang w:val="en-GB"/>
        </w:rPr>
        <w:t xml:space="preserve">maximum </w:t>
      </w:r>
      <w:r w:rsidR="00F66F42">
        <w:rPr>
          <w:rFonts w:ascii="Verdana" w:hAnsi="Verdana" w:cs="CIDFont+F1" w:eastAsiaTheme="minorHAnsi"/>
          <w:color w:val="000000" w:themeColor="text1"/>
          <w:sz w:val="22"/>
          <w:szCs w:val="22"/>
          <w:lang w:val="en-GB"/>
        </w:rPr>
        <w:t xml:space="preserve">operating </w:t>
      </w:r>
      <w:r w:rsidR="005A01A7">
        <w:rPr>
          <w:rFonts w:ascii="Verdana" w:hAnsi="Verdana" w:cs="CIDFont+F1" w:eastAsiaTheme="minorHAnsi"/>
          <w:color w:val="000000" w:themeColor="text1"/>
          <w:sz w:val="22"/>
          <w:szCs w:val="22"/>
          <w:lang w:val="en-GB"/>
        </w:rPr>
        <w:t xml:space="preserve">value </w:t>
      </w:r>
      <w:r w:rsidR="00C5044A">
        <w:rPr>
          <w:rFonts w:ascii="Verdana" w:hAnsi="Verdana" w:cs="CIDFont+F1" w:eastAsiaTheme="minorHAnsi"/>
          <w:color w:val="000000" w:themeColor="text1"/>
          <w:sz w:val="22"/>
          <w:szCs w:val="22"/>
          <w:lang w:val="en-GB"/>
        </w:rPr>
        <w:t>i</w:t>
      </w:r>
      <w:r w:rsidR="006D668F">
        <w:rPr>
          <w:rFonts w:ascii="Verdana" w:hAnsi="Verdana" w:cs="CIDFont+F1" w:eastAsiaTheme="minorHAnsi"/>
          <w:color w:val="000000" w:themeColor="text1"/>
          <w:sz w:val="22"/>
          <w:szCs w:val="22"/>
          <w:lang w:val="en-GB"/>
        </w:rPr>
        <w:t>s</w:t>
      </w:r>
      <w:r>
        <w:rPr>
          <w:rFonts w:ascii="Verdana" w:hAnsi="Verdana" w:cs="CIDFont+F1" w:eastAsiaTheme="minorHAnsi"/>
          <w:color w:val="000000" w:themeColor="text1"/>
          <w:sz w:val="22"/>
          <w:szCs w:val="22"/>
          <w:lang w:val="en-GB"/>
        </w:rPr>
        <w:t xml:space="preserve"> </w:t>
      </w:r>
      <w:r w:rsidRPr="007F3D83">
        <w:rPr>
          <w:rFonts w:ascii="Verdana" w:hAnsi="Verdana" w:cs="CIDFont+F1" w:eastAsiaTheme="minorHAnsi"/>
          <w:color w:val="000000" w:themeColor="text1"/>
          <w:sz w:val="22"/>
          <w:szCs w:val="22"/>
          <w:lang w:val="en-GB"/>
        </w:rPr>
        <w:t>w</w:t>
      </w:r>
      <w:r w:rsidRPr="007F3D83">
        <w:rPr>
          <w:rFonts w:ascii="Verdana" w:hAnsi="Verdana" w:cstheme="minorHAnsi"/>
          <w:color w:val="000000" w:themeColor="text1"/>
          <w:sz w:val="22"/>
          <w:szCs w:val="22"/>
        </w:rPr>
        <w:t xml:space="preserve">ell within the </w:t>
      </w:r>
      <w:r w:rsidRPr="007F3D83">
        <w:rPr>
          <w:rFonts w:ascii="Verdana" w:hAnsi="Verdana"/>
          <w:sz w:val="22"/>
          <w:szCs w:val="22"/>
        </w:rPr>
        <w:t xml:space="preserve">5,000 </w:t>
      </w:r>
      <w:proofErr w:type="spellStart"/>
      <w:r w:rsidRPr="007F3D83">
        <w:rPr>
          <w:rFonts w:ascii="Verdana" w:hAnsi="Verdana"/>
          <w:sz w:val="22"/>
          <w:szCs w:val="22"/>
        </w:rPr>
        <w:t>cdsq.m</w:t>
      </w:r>
      <w:proofErr w:type="spellEnd"/>
      <w:r w:rsidRPr="007F3D83">
        <w:rPr>
          <w:rFonts w:ascii="Verdana" w:hAnsi="Verdana"/>
          <w:sz w:val="22"/>
          <w:szCs w:val="22"/>
        </w:rPr>
        <w:t xml:space="preserve"> </w:t>
      </w:r>
      <w:r w:rsidRPr="007F3D83">
        <w:rPr>
          <w:rFonts w:ascii="Verdana" w:hAnsi="Verdana" w:cstheme="minorHAnsi"/>
          <w:color w:val="000000" w:themeColor="text1"/>
          <w:sz w:val="22"/>
          <w:szCs w:val="22"/>
        </w:rPr>
        <w:t>daytime threshold as stated in the ILP Lighting Guide</w:t>
      </w:r>
      <w:r w:rsidRPr="007F3D83">
        <w:rPr>
          <w:rFonts w:ascii="Verdana" w:hAnsi="Verdana"/>
          <w:sz w:val="22"/>
          <w:szCs w:val="22"/>
        </w:rPr>
        <w:t>.</w:t>
      </w:r>
      <w:r>
        <w:rPr>
          <w:rFonts w:ascii="Verdana" w:hAnsi="Verdana"/>
          <w:sz w:val="22"/>
          <w:szCs w:val="22"/>
        </w:rPr>
        <w:t xml:space="preserve">  In summary, the </w:t>
      </w:r>
      <w:r>
        <w:rPr>
          <w:rFonts w:ascii="Verdana" w:hAnsi="Verdana" w:cstheme="minorHAnsi"/>
          <w:sz w:val="22"/>
          <w:szCs w:val="22"/>
        </w:rPr>
        <w:t xml:space="preserve">proposed replacement </w:t>
      </w:r>
      <w:r w:rsidR="006D668F">
        <w:rPr>
          <w:rFonts w:ascii="Verdana" w:hAnsi="Verdana" w:cstheme="minorHAnsi"/>
          <w:sz w:val="22"/>
          <w:szCs w:val="22"/>
        </w:rPr>
        <w:t>D</w:t>
      </w:r>
      <w:r w:rsidR="007E6404">
        <w:rPr>
          <w:rFonts w:ascii="Verdana" w:hAnsi="Verdana" w:cstheme="minorHAnsi"/>
          <w:sz w:val="22"/>
          <w:szCs w:val="22"/>
        </w:rPr>
        <w:t>igital</w:t>
      </w:r>
      <w:r>
        <w:rPr>
          <w:rFonts w:ascii="Verdana" w:hAnsi="Verdana" w:cstheme="minorHAnsi"/>
          <w:sz w:val="22"/>
          <w:szCs w:val="22"/>
        </w:rPr>
        <w:t xml:space="preserve"> </w:t>
      </w:r>
      <w:r w:rsidRPr="0073364D">
        <w:rPr>
          <w:rFonts w:ascii="Verdana" w:hAnsi="Verdana" w:cstheme="minorHAnsi"/>
          <w:sz w:val="22"/>
          <w:szCs w:val="22"/>
        </w:rPr>
        <w:t xml:space="preserve">displays would operate in </w:t>
      </w:r>
      <w:r>
        <w:rPr>
          <w:rFonts w:ascii="Verdana" w:hAnsi="Verdana" w:cstheme="minorHAnsi"/>
          <w:sz w:val="22"/>
          <w:szCs w:val="22"/>
        </w:rPr>
        <w:t xml:space="preserve">full </w:t>
      </w:r>
      <w:r w:rsidRPr="0073364D">
        <w:rPr>
          <w:rFonts w:ascii="Verdana" w:hAnsi="Verdana" w:cstheme="minorHAnsi"/>
          <w:sz w:val="22"/>
          <w:szCs w:val="22"/>
        </w:rPr>
        <w:t>accordance with</w:t>
      </w:r>
      <w:r>
        <w:rPr>
          <w:rFonts w:ascii="Verdana" w:hAnsi="Verdana" w:cstheme="minorHAnsi"/>
          <w:sz w:val="22"/>
          <w:szCs w:val="22"/>
        </w:rPr>
        <w:t xml:space="preserve"> </w:t>
      </w:r>
      <w:r w:rsidRPr="0073364D">
        <w:rPr>
          <w:rFonts w:ascii="Verdana" w:hAnsi="Verdana" w:cstheme="minorHAnsi"/>
          <w:sz w:val="22"/>
          <w:szCs w:val="22"/>
        </w:rPr>
        <w:t xml:space="preserve">the </w:t>
      </w:r>
      <w:r w:rsidRPr="0073364D">
        <w:rPr>
          <w:rFonts w:ascii="Verdana" w:hAnsi="Verdana" w:cstheme="minorHAnsi"/>
          <w:color w:val="000000"/>
          <w:sz w:val="22"/>
          <w:szCs w:val="22"/>
        </w:rPr>
        <w:t xml:space="preserve">authority document </w:t>
      </w:r>
      <w:r>
        <w:rPr>
          <w:rFonts w:ascii="Verdana" w:hAnsi="Verdana" w:cstheme="minorHAnsi"/>
          <w:color w:val="000000"/>
          <w:sz w:val="22"/>
          <w:szCs w:val="22"/>
        </w:rPr>
        <w:t xml:space="preserve">on </w:t>
      </w:r>
      <w:r w:rsidRPr="0073364D">
        <w:rPr>
          <w:rFonts w:ascii="Verdana" w:hAnsi="Verdana" w:cstheme="minorHAnsi"/>
          <w:color w:val="000000"/>
          <w:sz w:val="22"/>
          <w:szCs w:val="22"/>
        </w:rPr>
        <w:t xml:space="preserve">illuminated advertisements, </w:t>
      </w:r>
      <w:r w:rsidRPr="0073364D">
        <w:rPr>
          <w:rFonts w:ascii="Verdana" w:hAnsi="Verdana" w:cstheme="minorHAnsi"/>
          <w:sz w:val="22"/>
          <w:szCs w:val="22"/>
        </w:rPr>
        <w:t>‘The Brightness of Illuminated Advertisements’ PLG05 2015</w:t>
      </w:r>
      <w:r>
        <w:rPr>
          <w:rFonts w:ascii="Verdana" w:hAnsi="Verdana" w:cstheme="minorHAnsi"/>
          <w:sz w:val="22"/>
          <w:szCs w:val="22"/>
        </w:rPr>
        <w:t>,</w:t>
      </w:r>
      <w:r w:rsidRPr="0073364D">
        <w:rPr>
          <w:rFonts w:ascii="Verdana" w:hAnsi="Verdana" w:cstheme="minorHAnsi"/>
          <w:color w:val="000000"/>
          <w:sz w:val="22"/>
          <w:szCs w:val="22"/>
        </w:rPr>
        <w:t xml:space="preserve"> issued by the </w:t>
      </w:r>
      <w:r w:rsidRPr="0073364D">
        <w:rPr>
          <w:rFonts w:ascii="Verdana" w:hAnsi="Verdana" w:cstheme="minorHAnsi"/>
          <w:sz w:val="22"/>
          <w:szCs w:val="22"/>
        </w:rPr>
        <w:t>Institute of Lighting Professionals</w:t>
      </w:r>
      <w:r>
        <w:rPr>
          <w:rFonts w:ascii="Verdana" w:hAnsi="Verdana" w:cstheme="minorHAnsi"/>
          <w:sz w:val="22"/>
          <w:szCs w:val="22"/>
        </w:rPr>
        <w:t>.</w:t>
      </w:r>
    </w:p>
    <w:p w:rsidRPr="003E1A64" w:rsidR="004D4F3A" w:rsidP="003E1A64" w:rsidRDefault="004D4F3A" w14:paraId="28EE936B" w14:textId="639A25F8">
      <w:pPr>
        <w:autoSpaceDE w:val="0"/>
        <w:autoSpaceDN w:val="0"/>
        <w:adjustRightInd w:val="0"/>
        <w:ind w:left="567" w:hanging="567"/>
        <w:jc w:val="both"/>
        <w:rPr>
          <w:rFonts w:ascii="Verdana" w:hAnsi="Verdana" w:cs="CIDFont+F2" w:eastAsiaTheme="minorHAnsi"/>
          <w:color w:val="000000" w:themeColor="text1"/>
          <w:sz w:val="22"/>
          <w:szCs w:val="22"/>
          <w:lang w:val="en-GB"/>
        </w:rPr>
      </w:pPr>
    </w:p>
    <w:p w:rsidR="004D4F3A" w:rsidP="001D0301" w:rsidRDefault="004D4F3A" w14:paraId="22401283" w14:textId="0F12F65F">
      <w:pPr>
        <w:autoSpaceDE w:val="0"/>
        <w:autoSpaceDN w:val="0"/>
        <w:adjustRightInd w:val="0"/>
        <w:rPr>
          <w:rFonts w:ascii="Verdana" w:hAnsi="Verdana" w:cs="CIDFont+F2" w:eastAsiaTheme="minorHAnsi"/>
          <w:color w:val="000000" w:themeColor="text1"/>
          <w:sz w:val="22"/>
          <w:szCs w:val="22"/>
          <w:lang w:val="en-GB"/>
        </w:rPr>
      </w:pPr>
    </w:p>
    <w:sectPr w:rsidR="004D4F3A" w:rsidSect="00173370">
      <w:headerReference w:type="default" r:id="rId10"/>
      <w:footerReference w:type="default" r:id="rId11"/>
      <w:pgSz w:w="11906" w:h="16838" w:orient="portrait"/>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985" w:rsidP="00B27263" w:rsidRDefault="00DF6985" w14:paraId="6AE18007" w14:textId="77777777">
      <w:r>
        <w:separator/>
      </w:r>
    </w:p>
  </w:endnote>
  <w:endnote w:type="continuationSeparator" w:id="0">
    <w:p w:rsidR="00DF6985" w:rsidP="00B27263" w:rsidRDefault="00DF6985" w14:paraId="69D8E14E" w14:textId="77777777">
      <w:r>
        <w:continuationSeparator/>
      </w:r>
    </w:p>
  </w:endnote>
  <w:endnote w:type="continuationNotice" w:id="1">
    <w:p w:rsidR="00DF6985" w:rsidRDefault="00DF6985" w14:paraId="3534BD9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roman"/>
    <w:notTrueType/>
    <w:pitch w:val="default"/>
  </w:font>
  <w:font w:name="Frutiger-Light">
    <w:panose1 w:val="00000000000000000000"/>
    <w:charset w:val="00"/>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778378"/>
      <w:docPartObj>
        <w:docPartGallery w:val="Page Numbers (Bottom of Page)"/>
        <w:docPartUnique/>
      </w:docPartObj>
    </w:sdtPr>
    <w:sdtEndPr/>
    <w:sdtContent>
      <w:p w:rsidR="008D1F02" w:rsidRDefault="008D1F02" w14:paraId="2427EFA9" w14:textId="50A1044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B27263" w:rsidP="00115192" w:rsidRDefault="00B27263" w14:paraId="52BB0E37" w14:textId="09BBCC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985" w:rsidP="00B27263" w:rsidRDefault="00DF6985" w14:paraId="687588F7" w14:textId="77777777">
      <w:r>
        <w:separator/>
      </w:r>
    </w:p>
  </w:footnote>
  <w:footnote w:type="continuationSeparator" w:id="0">
    <w:p w:rsidR="00DF6985" w:rsidP="00B27263" w:rsidRDefault="00DF6985" w14:paraId="255EBC78" w14:textId="77777777">
      <w:r>
        <w:continuationSeparator/>
      </w:r>
    </w:p>
  </w:footnote>
  <w:footnote w:type="continuationNotice" w:id="1">
    <w:p w:rsidR="00DF6985" w:rsidRDefault="00DF6985" w14:paraId="14F44072" w14:textId="77777777"/>
  </w:footnote>
  <w:footnote w:id="2">
    <w:p w:rsidR="002E0823" w:rsidP="002E0823" w:rsidRDefault="002E0823" w14:paraId="52BB0E3C" w14:textId="77777777">
      <w:pPr>
        <w:pStyle w:val="FootnoteText"/>
      </w:pPr>
      <w:r>
        <w:rPr>
          <w:rStyle w:val="FootnoteReference"/>
        </w:rPr>
        <w:footnoteRef/>
      </w:r>
      <w:r>
        <w:t xml:space="preserve"> </w:t>
      </w:r>
      <w:r w:rsidRPr="00DB5628">
        <w:rPr>
          <w:rFonts w:ascii="Verdana" w:hAnsi="Verdana"/>
        </w:rPr>
        <w:t>Institute of lighting Professionals, Professional Lighting Guide 05, “The Brightness of Illuminated Advertisements.”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7263" w:rsidRDefault="00B27263" w14:paraId="52BB0E36" w14:textId="77777777">
    <w:pPr>
      <w:pStyle w:val="Header"/>
    </w:pPr>
    <w:r>
      <w:rPr>
        <w:noProof/>
        <w:lang w:val="en-GB" w:eastAsia="en-GB"/>
      </w:rPr>
      <w:drawing>
        <wp:inline distT="0" distB="0" distL="0" distR="0" wp14:anchorId="52BB0E38" wp14:editId="52BB0E39">
          <wp:extent cx="2933395" cy="365423"/>
          <wp:effectExtent l="0" t="0" r="635" b="0"/>
          <wp:docPr id="1" name="Picture 1" descr="C:\RW\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W\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559" cy="3680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800"/>
    <w:multiLevelType w:val="hybridMultilevel"/>
    <w:tmpl w:val="14F07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82452"/>
    <w:multiLevelType w:val="hybridMultilevel"/>
    <w:tmpl w:val="48180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0572C"/>
    <w:multiLevelType w:val="hybridMultilevel"/>
    <w:tmpl w:val="E92CDE1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EC63F3"/>
    <w:multiLevelType w:val="hybridMultilevel"/>
    <w:tmpl w:val="6ADAB0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9CD1652"/>
    <w:multiLevelType w:val="hybridMultilevel"/>
    <w:tmpl w:val="334C39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85DAD"/>
    <w:multiLevelType w:val="hybridMultilevel"/>
    <w:tmpl w:val="60C4A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76BE4"/>
    <w:multiLevelType w:val="hybridMultilevel"/>
    <w:tmpl w:val="F31AD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0B4EB7"/>
    <w:multiLevelType w:val="hybridMultilevel"/>
    <w:tmpl w:val="F3709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C90DE2"/>
    <w:multiLevelType w:val="hybridMultilevel"/>
    <w:tmpl w:val="A8C03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B554B"/>
    <w:multiLevelType w:val="hybridMultilevel"/>
    <w:tmpl w:val="5944E6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95672"/>
    <w:multiLevelType w:val="hybridMultilevel"/>
    <w:tmpl w:val="50C02F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39954027"/>
    <w:multiLevelType w:val="hybridMultilevel"/>
    <w:tmpl w:val="B9883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E0EE5"/>
    <w:multiLevelType w:val="hybridMultilevel"/>
    <w:tmpl w:val="3224003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C2703E"/>
    <w:multiLevelType w:val="hybridMultilevel"/>
    <w:tmpl w:val="9AB45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B5867AB"/>
    <w:multiLevelType w:val="hybridMultilevel"/>
    <w:tmpl w:val="CC56B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C746245"/>
    <w:multiLevelType w:val="hybridMultilevel"/>
    <w:tmpl w:val="7FC4E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531"/>
    <w:multiLevelType w:val="hybridMultilevel"/>
    <w:tmpl w:val="07A21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1A0DC6"/>
    <w:multiLevelType w:val="multilevel"/>
    <w:tmpl w:val="0F4ADA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347F45"/>
    <w:multiLevelType w:val="hybridMultilevel"/>
    <w:tmpl w:val="7A7AFB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4CCB3FDC"/>
    <w:multiLevelType w:val="hybridMultilevel"/>
    <w:tmpl w:val="4F224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DA877D5"/>
    <w:multiLevelType w:val="hybridMultilevel"/>
    <w:tmpl w:val="CF5210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A72C07"/>
    <w:multiLevelType w:val="hybridMultilevel"/>
    <w:tmpl w:val="7A301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051F4"/>
    <w:multiLevelType w:val="hybridMultilevel"/>
    <w:tmpl w:val="C5C81536"/>
    <w:lvl w:ilvl="0" w:tplc="310C10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848E2"/>
    <w:multiLevelType w:val="hybridMultilevel"/>
    <w:tmpl w:val="2D5CB008"/>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9BE1E5E"/>
    <w:multiLevelType w:val="hybridMultilevel"/>
    <w:tmpl w:val="8714790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21104D9"/>
    <w:multiLevelType w:val="hybridMultilevel"/>
    <w:tmpl w:val="6470A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4B0FD8"/>
    <w:multiLevelType w:val="multilevel"/>
    <w:tmpl w:val="D87E1C36"/>
    <w:lvl w:ilvl="0">
      <w:start w:val="1"/>
      <w:numFmt w:val="decimal"/>
      <w:pStyle w:val="VectosHeading1"/>
      <w:lvlText w:val="%1"/>
      <w:lvlJc w:val="left"/>
      <w:pPr>
        <w:tabs>
          <w:tab w:val="num" w:pos="1134"/>
        </w:tabs>
        <w:ind w:left="1134" w:hanging="1134"/>
      </w:pPr>
      <w:rPr>
        <w:rFonts w:hint="default"/>
      </w:rPr>
    </w:lvl>
    <w:lvl w:ilvl="1">
      <w:start w:val="1"/>
      <w:numFmt w:val="decimal"/>
      <w:pStyle w:val="VectosHeading2"/>
      <w:lvlText w:val="%1.%2"/>
      <w:lvlJc w:val="left"/>
      <w:pPr>
        <w:tabs>
          <w:tab w:val="num" w:pos="1134"/>
        </w:tabs>
        <w:ind w:left="1134" w:hanging="1134"/>
      </w:pPr>
      <w:rPr>
        <w:rFonts w:hint="default"/>
      </w:rPr>
    </w:lvl>
    <w:lvl w:ilvl="2">
      <w:start w:val="1"/>
      <w:numFmt w:val="decimal"/>
      <w:pStyle w:val="VectosParagraph"/>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Roman"/>
      <w:lvlText w:val="%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F7B121A"/>
    <w:multiLevelType w:val="hybridMultilevel"/>
    <w:tmpl w:val="45CE4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20F6889"/>
    <w:multiLevelType w:val="hybridMultilevel"/>
    <w:tmpl w:val="91783A1C"/>
    <w:lvl w:ilvl="0" w:tplc="A728348E">
      <w:start w:val="1"/>
      <w:numFmt w:val="bullet"/>
      <w:pStyle w:val="Bullet1"/>
      <w:lvlText w:val=""/>
      <w:lvlJc w:val="left"/>
      <w:pPr>
        <w:tabs>
          <w:tab w:val="num" w:pos="1701"/>
        </w:tabs>
        <w:ind w:left="1701" w:hanging="567"/>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3AA05BD"/>
    <w:multiLevelType w:val="hybridMultilevel"/>
    <w:tmpl w:val="83945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84194211">
    <w:abstractNumId w:val="11"/>
  </w:num>
  <w:num w:numId="2" w16cid:durableId="1933968941">
    <w:abstractNumId w:val="8"/>
  </w:num>
  <w:num w:numId="3" w16cid:durableId="791767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992842">
    <w:abstractNumId w:val="19"/>
  </w:num>
  <w:num w:numId="5" w16cid:durableId="1352683671">
    <w:abstractNumId w:val="28"/>
  </w:num>
  <w:num w:numId="6" w16cid:durableId="1325862303">
    <w:abstractNumId w:val="26"/>
  </w:num>
  <w:num w:numId="7" w16cid:durableId="1995255890">
    <w:abstractNumId w:val="26"/>
    <w:lvlOverride w:ilvl="0">
      <w:startOverride w:val="5"/>
    </w:lvlOverride>
    <w:lvlOverride w:ilvl="1">
      <w:startOverride w:val="1"/>
    </w:lvlOverride>
    <w:lvlOverride w:ilvl="2">
      <w:startOverride w:val="4"/>
    </w:lvlOverride>
  </w:num>
  <w:num w:numId="8" w16cid:durableId="69424717">
    <w:abstractNumId w:val="25"/>
  </w:num>
  <w:num w:numId="9" w16cid:durableId="737631570">
    <w:abstractNumId w:val="0"/>
  </w:num>
  <w:num w:numId="10" w16cid:durableId="381563758">
    <w:abstractNumId w:val="5"/>
  </w:num>
  <w:num w:numId="11" w16cid:durableId="1243953767">
    <w:abstractNumId w:val="12"/>
  </w:num>
  <w:num w:numId="12" w16cid:durableId="685906619">
    <w:abstractNumId w:val="22"/>
  </w:num>
  <w:num w:numId="13" w16cid:durableId="1754425807">
    <w:abstractNumId w:val="1"/>
  </w:num>
  <w:num w:numId="14" w16cid:durableId="311446725">
    <w:abstractNumId w:val="18"/>
  </w:num>
  <w:num w:numId="15" w16cid:durableId="1916091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0524147">
    <w:abstractNumId w:val="10"/>
  </w:num>
  <w:num w:numId="17" w16cid:durableId="36049683">
    <w:abstractNumId w:val="21"/>
  </w:num>
  <w:num w:numId="18" w16cid:durableId="2079859452">
    <w:abstractNumId w:val="27"/>
  </w:num>
  <w:num w:numId="19" w16cid:durableId="378945106">
    <w:abstractNumId w:val="20"/>
  </w:num>
  <w:num w:numId="20" w16cid:durableId="224492978">
    <w:abstractNumId w:val="24"/>
  </w:num>
  <w:num w:numId="21" w16cid:durableId="317612503">
    <w:abstractNumId w:val="14"/>
  </w:num>
  <w:num w:numId="22" w16cid:durableId="1729913756">
    <w:abstractNumId w:val="3"/>
  </w:num>
  <w:num w:numId="23" w16cid:durableId="1975019593">
    <w:abstractNumId w:val="17"/>
  </w:num>
  <w:num w:numId="24" w16cid:durableId="547716827">
    <w:abstractNumId w:val="15"/>
  </w:num>
  <w:num w:numId="25" w16cid:durableId="1812281659">
    <w:abstractNumId w:val="9"/>
  </w:num>
  <w:num w:numId="26" w16cid:durableId="14815769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8973803">
    <w:abstractNumId w:val="7"/>
  </w:num>
  <w:num w:numId="28" w16cid:durableId="1895310806">
    <w:abstractNumId w:val="2"/>
  </w:num>
  <w:num w:numId="29" w16cid:durableId="1660645394">
    <w:abstractNumId w:val="13"/>
  </w:num>
  <w:num w:numId="30" w16cid:durableId="1467577260">
    <w:abstractNumId w:val="16"/>
  </w:num>
  <w:num w:numId="31" w16cid:durableId="105257702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63"/>
    <w:rsid w:val="00000593"/>
    <w:rsid w:val="0000121F"/>
    <w:rsid w:val="00001266"/>
    <w:rsid w:val="00001BFC"/>
    <w:rsid w:val="0001069F"/>
    <w:rsid w:val="00010F2B"/>
    <w:rsid w:val="0001104F"/>
    <w:rsid w:val="000126B8"/>
    <w:rsid w:val="00012BD9"/>
    <w:rsid w:val="00016605"/>
    <w:rsid w:val="00022E1D"/>
    <w:rsid w:val="00022EDB"/>
    <w:rsid w:val="00022F68"/>
    <w:rsid w:val="000234F3"/>
    <w:rsid w:val="00030432"/>
    <w:rsid w:val="00034534"/>
    <w:rsid w:val="00036206"/>
    <w:rsid w:val="00036250"/>
    <w:rsid w:val="00036A3C"/>
    <w:rsid w:val="0004427E"/>
    <w:rsid w:val="000448A2"/>
    <w:rsid w:val="00047AB4"/>
    <w:rsid w:val="000500B2"/>
    <w:rsid w:val="00050393"/>
    <w:rsid w:val="00051248"/>
    <w:rsid w:val="00051CF2"/>
    <w:rsid w:val="00051FD6"/>
    <w:rsid w:val="00052113"/>
    <w:rsid w:val="0005217A"/>
    <w:rsid w:val="0005361D"/>
    <w:rsid w:val="00063265"/>
    <w:rsid w:val="00064949"/>
    <w:rsid w:val="000667CC"/>
    <w:rsid w:val="00067D2E"/>
    <w:rsid w:val="00070408"/>
    <w:rsid w:val="00071F37"/>
    <w:rsid w:val="000728B5"/>
    <w:rsid w:val="00072F5E"/>
    <w:rsid w:val="00073B2E"/>
    <w:rsid w:val="000741B4"/>
    <w:rsid w:val="00074880"/>
    <w:rsid w:val="00086BA1"/>
    <w:rsid w:val="00090597"/>
    <w:rsid w:val="000907C7"/>
    <w:rsid w:val="0009129B"/>
    <w:rsid w:val="00091686"/>
    <w:rsid w:val="0009409D"/>
    <w:rsid w:val="0009424F"/>
    <w:rsid w:val="00094476"/>
    <w:rsid w:val="000948EE"/>
    <w:rsid w:val="00095613"/>
    <w:rsid w:val="00097A49"/>
    <w:rsid w:val="000A0296"/>
    <w:rsid w:val="000A05F9"/>
    <w:rsid w:val="000A0844"/>
    <w:rsid w:val="000A1009"/>
    <w:rsid w:val="000A1DE1"/>
    <w:rsid w:val="000A474B"/>
    <w:rsid w:val="000A5AA4"/>
    <w:rsid w:val="000A5E76"/>
    <w:rsid w:val="000A708B"/>
    <w:rsid w:val="000A70BE"/>
    <w:rsid w:val="000B3468"/>
    <w:rsid w:val="000B4938"/>
    <w:rsid w:val="000B5BC1"/>
    <w:rsid w:val="000B7B73"/>
    <w:rsid w:val="000C14B1"/>
    <w:rsid w:val="000C28FE"/>
    <w:rsid w:val="000C50C8"/>
    <w:rsid w:val="000C5908"/>
    <w:rsid w:val="000C7494"/>
    <w:rsid w:val="000D076F"/>
    <w:rsid w:val="000D0933"/>
    <w:rsid w:val="000D1766"/>
    <w:rsid w:val="000D1DCC"/>
    <w:rsid w:val="000D45E4"/>
    <w:rsid w:val="000E06A2"/>
    <w:rsid w:val="000E0B71"/>
    <w:rsid w:val="000E2C89"/>
    <w:rsid w:val="000E3801"/>
    <w:rsid w:val="000E4467"/>
    <w:rsid w:val="000E47A6"/>
    <w:rsid w:val="000E4B21"/>
    <w:rsid w:val="000E50FF"/>
    <w:rsid w:val="000E5A12"/>
    <w:rsid w:val="000F296C"/>
    <w:rsid w:val="000F4C92"/>
    <w:rsid w:val="000F539A"/>
    <w:rsid w:val="000F6681"/>
    <w:rsid w:val="000F7AD1"/>
    <w:rsid w:val="000F7F24"/>
    <w:rsid w:val="0010011E"/>
    <w:rsid w:val="001001B5"/>
    <w:rsid w:val="00101136"/>
    <w:rsid w:val="00103599"/>
    <w:rsid w:val="00103E08"/>
    <w:rsid w:val="001075F4"/>
    <w:rsid w:val="0011160B"/>
    <w:rsid w:val="001140BA"/>
    <w:rsid w:val="00114228"/>
    <w:rsid w:val="00115192"/>
    <w:rsid w:val="00115905"/>
    <w:rsid w:val="00115E12"/>
    <w:rsid w:val="00122276"/>
    <w:rsid w:val="00122C0E"/>
    <w:rsid w:val="001239EA"/>
    <w:rsid w:val="00123D48"/>
    <w:rsid w:val="00123FC7"/>
    <w:rsid w:val="001266B3"/>
    <w:rsid w:val="00131458"/>
    <w:rsid w:val="0013167D"/>
    <w:rsid w:val="00131849"/>
    <w:rsid w:val="0013185B"/>
    <w:rsid w:val="00132419"/>
    <w:rsid w:val="00133EF1"/>
    <w:rsid w:val="00134B7A"/>
    <w:rsid w:val="00137DC6"/>
    <w:rsid w:val="00137FB3"/>
    <w:rsid w:val="001417D3"/>
    <w:rsid w:val="0014199F"/>
    <w:rsid w:val="001419EE"/>
    <w:rsid w:val="00141C05"/>
    <w:rsid w:val="00141FCE"/>
    <w:rsid w:val="0014220E"/>
    <w:rsid w:val="001424BC"/>
    <w:rsid w:val="0014348F"/>
    <w:rsid w:val="00143ABC"/>
    <w:rsid w:val="00143D7E"/>
    <w:rsid w:val="00152B94"/>
    <w:rsid w:val="00154C82"/>
    <w:rsid w:val="00154D94"/>
    <w:rsid w:val="0015683A"/>
    <w:rsid w:val="00156A90"/>
    <w:rsid w:val="00156DDF"/>
    <w:rsid w:val="00157078"/>
    <w:rsid w:val="00162F52"/>
    <w:rsid w:val="00165A55"/>
    <w:rsid w:val="00167364"/>
    <w:rsid w:val="00167CA7"/>
    <w:rsid w:val="001706EF"/>
    <w:rsid w:val="00173370"/>
    <w:rsid w:val="00175EA1"/>
    <w:rsid w:val="00177026"/>
    <w:rsid w:val="001810E4"/>
    <w:rsid w:val="001838B0"/>
    <w:rsid w:val="0018556C"/>
    <w:rsid w:val="00187797"/>
    <w:rsid w:val="0018781E"/>
    <w:rsid w:val="001900B1"/>
    <w:rsid w:val="001904B7"/>
    <w:rsid w:val="001906E9"/>
    <w:rsid w:val="001908C3"/>
    <w:rsid w:val="00191403"/>
    <w:rsid w:val="001915E3"/>
    <w:rsid w:val="00192A72"/>
    <w:rsid w:val="00193064"/>
    <w:rsid w:val="001941FE"/>
    <w:rsid w:val="001955C3"/>
    <w:rsid w:val="00195D97"/>
    <w:rsid w:val="00197631"/>
    <w:rsid w:val="00197B54"/>
    <w:rsid w:val="001A0964"/>
    <w:rsid w:val="001A3172"/>
    <w:rsid w:val="001A3C8A"/>
    <w:rsid w:val="001A4404"/>
    <w:rsid w:val="001A5D36"/>
    <w:rsid w:val="001A791B"/>
    <w:rsid w:val="001B1580"/>
    <w:rsid w:val="001B181A"/>
    <w:rsid w:val="001B372F"/>
    <w:rsid w:val="001B3B61"/>
    <w:rsid w:val="001B45B1"/>
    <w:rsid w:val="001B4E7E"/>
    <w:rsid w:val="001B5532"/>
    <w:rsid w:val="001B7933"/>
    <w:rsid w:val="001C03A4"/>
    <w:rsid w:val="001C07B4"/>
    <w:rsid w:val="001C1984"/>
    <w:rsid w:val="001C27B7"/>
    <w:rsid w:val="001C30D5"/>
    <w:rsid w:val="001C38F3"/>
    <w:rsid w:val="001C6819"/>
    <w:rsid w:val="001C7150"/>
    <w:rsid w:val="001C796E"/>
    <w:rsid w:val="001D02B9"/>
    <w:rsid w:val="001D0301"/>
    <w:rsid w:val="001D2865"/>
    <w:rsid w:val="001D2E7B"/>
    <w:rsid w:val="001D456C"/>
    <w:rsid w:val="001D5B4E"/>
    <w:rsid w:val="001D5E77"/>
    <w:rsid w:val="001D6F20"/>
    <w:rsid w:val="001E1E83"/>
    <w:rsid w:val="001E2571"/>
    <w:rsid w:val="001E29CC"/>
    <w:rsid w:val="001E2B01"/>
    <w:rsid w:val="001E3156"/>
    <w:rsid w:val="001E3E71"/>
    <w:rsid w:val="001E6495"/>
    <w:rsid w:val="001F0DF1"/>
    <w:rsid w:val="001F2BAF"/>
    <w:rsid w:val="001F3709"/>
    <w:rsid w:val="001F413D"/>
    <w:rsid w:val="001F684D"/>
    <w:rsid w:val="002023D1"/>
    <w:rsid w:val="00203711"/>
    <w:rsid w:val="00203A11"/>
    <w:rsid w:val="00205B0D"/>
    <w:rsid w:val="00206364"/>
    <w:rsid w:val="00207A72"/>
    <w:rsid w:val="00210D6D"/>
    <w:rsid w:val="002112A2"/>
    <w:rsid w:val="00211787"/>
    <w:rsid w:val="00212D9A"/>
    <w:rsid w:val="00213C73"/>
    <w:rsid w:val="00214E33"/>
    <w:rsid w:val="0021535A"/>
    <w:rsid w:val="00216237"/>
    <w:rsid w:val="002207F7"/>
    <w:rsid w:val="00223292"/>
    <w:rsid w:val="002246A5"/>
    <w:rsid w:val="00224C6D"/>
    <w:rsid w:val="00225635"/>
    <w:rsid w:val="00226808"/>
    <w:rsid w:val="00226FBF"/>
    <w:rsid w:val="00230D80"/>
    <w:rsid w:val="00231438"/>
    <w:rsid w:val="002327D4"/>
    <w:rsid w:val="00232EA9"/>
    <w:rsid w:val="00234871"/>
    <w:rsid w:val="002355B0"/>
    <w:rsid w:val="00235BCC"/>
    <w:rsid w:val="002379ED"/>
    <w:rsid w:val="00241823"/>
    <w:rsid w:val="0024413E"/>
    <w:rsid w:val="0025313F"/>
    <w:rsid w:val="0025529D"/>
    <w:rsid w:val="00262FE3"/>
    <w:rsid w:val="0026345F"/>
    <w:rsid w:val="002634D6"/>
    <w:rsid w:val="00263E83"/>
    <w:rsid w:val="002645A0"/>
    <w:rsid w:val="00264F27"/>
    <w:rsid w:val="0026784E"/>
    <w:rsid w:val="00267D1A"/>
    <w:rsid w:val="002708C3"/>
    <w:rsid w:val="002711D2"/>
    <w:rsid w:val="00273500"/>
    <w:rsid w:val="00274292"/>
    <w:rsid w:val="00275579"/>
    <w:rsid w:val="00276415"/>
    <w:rsid w:val="00277E68"/>
    <w:rsid w:val="0028167E"/>
    <w:rsid w:val="00282BA9"/>
    <w:rsid w:val="0028325E"/>
    <w:rsid w:val="002846CE"/>
    <w:rsid w:val="00286606"/>
    <w:rsid w:val="0029083B"/>
    <w:rsid w:val="002909C4"/>
    <w:rsid w:val="00290F41"/>
    <w:rsid w:val="00291D59"/>
    <w:rsid w:val="00292302"/>
    <w:rsid w:val="002950C3"/>
    <w:rsid w:val="00296009"/>
    <w:rsid w:val="00296F7F"/>
    <w:rsid w:val="00297F45"/>
    <w:rsid w:val="002A14BA"/>
    <w:rsid w:val="002A23E8"/>
    <w:rsid w:val="002A255C"/>
    <w:rsid w:val="002A3EB5"/>
    <w:rsid w:val="002A5604"/>
    <w:rsid w:val="002A69F5"/>
    <w:rsid w:val="002A733E"/>
    <w:rsid w:val="002A7CFA"/>
    <w:rsid w:val="002B0575"/>
    <w:rsid w:val="002B232A"/>
    <w:rsid w:val="002B3350"/>
    <w:rsid w:val="002B4278"/>
    <w:rsid w:val="002B4F78"/>
    <w:rsid w:val="002B6D48"/>
    <w:rsid w:val="002B71F4"/>
    <w:rsid w:val="002B75A2"/>
    <w:rsid w:val="002C04DB"/>
    <w:rsid w:val="002C075E"/>
    <w:rsid w:val="002C07F6"/>
    <w:rsid w:val="002C158D"/>
    <w:rsid w:val="002C2337"/>
    <w:rsid w:val="002C2863"/>
    <w:rsid w:val="002C2D1A"/>
    <w:rsid w:val="002C318C"/>
    <w:rsid w:val="002C7129"/>
    <w:rsid w:val="002C75A8"/>
    <w:rsid w:val="002D05BE"/>
    <w:rsid w:val="002D255B"/>
    <w:rsid w:val="002D26B1"/>
    <w:rsid w:val="002D321B"/>
    <w:rsid w:val="002D366A"/>
    <w:rsid w:val="002D3714"/>
    <w:rsid w:val="002D4B5C"/>
    <w:rsid w:val="002D63BF"/>
    <w:rsid w:val="002D7601"/>
    <w:rsid w:val="002E0208"/>
    <w:rsid w:val="002E0823"/>
    <w:rsid w:val="002E13A0"/>
    <w:rsid w:val="002E1A71"/>
    <w:rsid w:val="002E1CD7"/>
    <w:rsid w:val="002E6977"/>
    <w:rsid w:val="002F24A2"/>
    <w:rsid w:val="002F3350"/>
    <w:rsid w:val="002F4381"/>
    <w:rsid w:val="002F54ED"/>
    <w:rsid w:val="002F6993"/>
    <w:rsid w:val="00301173"/>
    <w:rsid w:val="00303390"/>
    <w:rsid w:val="00303CEC"/>
    <w:rsid w:val="00304366"/>
    <w:rsid w:val="00306AE1"/>
    <w:rsid w:val="003076B2"/>
    <w:rsid w:val="00313D1A"/>
    <w:rsid w:val="003167EE"/>
    <w:rsid w:val="00316E77"/>
    <w:rsid w:val="00316F15"/>
    <w:rsid w:val="003172DF"/>
    <w:rsid w:val="003209CB"/>
    <w:rsid w:val="003218D5"/>
    <w:rsid w:val="00322634"/>
    <w:rsid w:val="0032387F"/>
    <w:rsid w:val="00324EDC"/>
    <w:rsid w:val="00327D91"/>
    <w:rsid w:val="0033182D"/>
    <w:rsid w:val="00333B5C"/>
    <w:rsid w:val="003347DC"/>
    <w:rsid w:val="00334A60"/>
    <w:rsid w:val="00334A67"/>
    <w:rsid w:val="00334E2C"/>
    <w:rsid w:val="0033520C"/>
    <w:rsid w:val="0033607A"/>
    <w:rsid w:val="003405D2"/>
    <w:rsid w:val="00340B88"/>
    <w:rsid w:val="0034179E"/>
    <w:rsid w:val="003422A9"/>
    <w:rsid w:val="0034318C"/>
    <w:rsid w:val="00343B43"/>
    <w:rsid w:val="00345C38"/>
    <w:rsid w:val="00346D34"/>
    <w:rsid w:val="0035041A"/>
    <w:rsid w:val="00351836"/>
    <w:rsid w:val="003543C2"/>
    <w:rsid w:val="0035565E"/>
    <w:rsid w:val="00355940"/>
    <w:rsid w:val="003611F6"/>
    <w:rsid w:val="00366FD5"/>
    <w:rsid w:val="00367D7C"/>
    <w:rsid w:val="0036C750"/>
    <w:rsid w:val="00370B8C"/>
    <w:rsid w:val="00373230"/>
    <w:rsid w:val="00373B64"/>
    <w:rsid w:val="003740B8"/>
    <w:rsid w:val="00374308"/>
    <w:rsid w:val="00376310"/>
    <w:rsid w:val="00376802"/>
    <w:rsid w:val="003769BE"/>
    <w:rsid w:val="00376D84"/>
    <w:rsid w:val="00377114"/>
    <w:rsid w:val="00377379"/>
    <w:rsid w:val="00380596"/>
    <w:rsid w:val="00380D42"/>
    <w:rsid w:val="0038180D"/>
    <w:rsid w:val="00381995"/>
    <w:rsid w:val="00382D42"/>
    <w:rsid w:val="00383A10"/>
    <w:rsid w:val="00383D7C"/>
    <w:rsid w:val="00385C23"/>
    <w:rsid w:val="00386B72"/>
    <w:rsid w:val="00386E4B"/>
    <w:rsid w:val="003910CE"/>
    <w:rsid w:val="00392BF2"/>
    <w:rsid w:val="003952B1"/>
    <w:rsid w:val="00397AD5"/>
    <w:rsid w:val="003A1B48"/>
    <w:rsid w:val="003A23D1"/>
    <w:rsid w:val="003A2CC9"/>
    <w:rsid w:val="003A2E60"/>
    <w:rsid w:val="003A304A"/>
    <w:rsid w:val="003A574F"/>
    <w:rsid w:val="003A580D"/>
    <w:rsid w:val="003A7B48"/>
    <w:rsid w:val="003B01B0"/>
    <w:rsid w:val="003B222E"/>
    <w:rsid w:val="003B39D3"/>
    <w:rsid w:val="003B5ED1"/>
    <w:rsid w:val="003B6660"/>
    <w:rsid w:val="003C0482"/>
    <w:rsid w:val="003C2A71"/>
    <w:rsid w:val="003C3002"/>
    <w:rsid w:val="003C3303"/>
    <w:rsid w:val="003C33E3"/>
    <w:rsid w:val="003C4BD1"/>
    <w:rsid w:val="003C54E9"/>
    <w:rsid w:val="003C6602"/>
    <w:rsid w:val="003D276D"/>
    <w:rsid w:val="003D3730"/>
    <w:rsid w:val="003D467F"/>
    <w:rsid w:val="003D468C"/>
    <w:rsid w:val="003D55D1"/>
    <w:rsid w:val="003D7337"/>
    <w:rsid w:val="003D7EC3"/>
    <w:rsid w:val="003E1059"/>
    <w:rsid w:val="003E1A64"/>
    <w:rsid w:val="003E3552"/>
    <w:rsid w:val="003E42AB"/>
    <w:rsid w:val="003E609A"/>
    <w:rsid w:val="003F015B"/>
    <w:rsid w:val="003F01A0"/>
    <w:rsid w:val="003F1601"/>
    <w:rsid w:val="003F1D3B"/>
    <w:rsid w:val="003F2859"/>
    <w:rsid w:val="003F2EF1"/>
    <w:rsid w:val="003F3105"/>
    <w:rsid w:val="003F414A"/>
    <w:rsid w:val="003F4D5E"/>
    <w:rsid w:val="003F531D"/>
    <w:rsid w:val="003F6F7E"/>
    <w:rsid w:val="003F7D96"/>
    <w:rsid w:val="0040137E"/>
    <w:rsid w:val="004027E0"/>
    <w:rsid w:val="00402E5C"/>
    <w:rsid w:val="0040328D"/>
    <w:rsid w:val="0040350D"/>
    <w:rsid w:val="00403826"/>
    <w:rsid w:val="00403DD6"/>
    <w:rsid w:val="00404444"/>
    <w:rsid w:val="00404BD2"/>
    <w:rsid w:val="00405683"/>
    <w:rsid w:val="004101DB"/>
    <w:rsid w:val="004117E9"/>
    <w:rsid w:val="00412E12"/>
    <w:rsid w:val="00413C7F"/>
    <w:rsid w:val="00414600"/>
    <w:rsid w:val="00414652"/>
    <w:rsid w:val="00414986"/>
    <w:rsid w:val="00415777"/>
    <w:rsid w:val="004161F0"/>
    <w:rsid w:val="00417430"/>
    <w:rsid w:val="0041770F"/>
    <w:rsid w:val="00421D21"/>
    <w:rsid w:val="00422011"/>
    <w:rsid w:val="004220C7"/>
    <w:rsid w:val="00425AEB"/>
    <w:rsid w:val="00426A46"/>
    <w:rsid w:val="00427B76"/>
    <w:rsid w:val="0043069B"/>
    <w:rsid w:val="0043261B"/>
    <w:rsid w:val="004326F1"/>
    <w:rsid w:val="0043369B"/>
    <w:rsid w:val="00434E10"/>
    <w:rsid w:val="0044057B"/>
    <w:rsid w:val="00442A46"/>
    <w:rsid w:val="00445241"/>
    <w:rsid w:val="00445DB6"/>
    <w:rsid w:val="00447AC4"/>
    <w:rsid w:val="00451863"/>
    <w:rsid w:val="00451FB6"/>
    <w:rsid w:val="00457B75"/>
    <w:rsid w:val="004641B2"/>
    <w:rsid w:val="0046489E"/>
    <w:rsid w:val="00465B84"/>
    <w:rsid w:val="00474ADB"/>
    <w:rsid w:val="00480DFE"/>
    <w:rsid w:val="00480FCA"/>
    <w:rsid w:val="004829A7"/>
    <w:rsid w:val="00484D67"/>
    <w:rsid w:val="00484FBF"/>
    <w:rsid w:val="00487D76"/>
    <w:rsid w:val="004901B3"/>
    <w:rsid w:val="00490BE4"/>
    <w:rsid w:val="0049111E"/>
    <w:rsid w:val="004929E2"/>
    <w:rsid w:val="00493959"/>
    <w:rsid w:val="00495C13"/>
    <w:rsid w:val="004970A8"/>
    <w:rsid w:val="004978CD"/>
    <w:rsid w:val="004A51DF"/>
    <w:rsid w:val="004A5A32"/>
    <w:rsid w:val="004B00F0"/>
    <w:rsid w:val="004B0981"/>
    <w:rsid w:val="004B327E"/>
    <w:rsid w:val="004B5D95"/>
    <w:rsid w:val="004C0BBD"/>
    <w:rsid w:val="004C12FB"/>
    <w:rsid w:val="004C13E8"/>
    <w:rsid w:val="004C1DC3"/>
    <w:rsid w:val="004C3D9C"/>
    <w:rsid w:val="004C469A"/>
    <w:rsid w:val="004C4A91"/>
    <w:rsid w:val="004D4F3A"/>
    <w:rsid w:val="004D6158"/>
    <w:rsid w:val="004E0569"/>
    <w:rsid w:val="004E1610"/>
    <w:rsid w:val="004E18E0"/>
    <w:rsid w:val="004E2694"/>
    <w:rsid w:val="004E2D00"/>
    <w:rsid w:val="004E37A0"/>
    <w:rsid w:val="004E4AF6"/>
    <w:rsid w:val="004E5C26"/>
    <w:rsid w:val="004E676D"/>
    <w:rsid w:val="004F1730"/>
    <w:rsid w:val="004F2E44"/>
    <w:rsid w:val="004F3FEA"/>
    <w:rsid w:val="004F462E"/>
    <w:rsid w:val="004F7D95"/>
    <w:rsid w:val="00500FEA"/>
    <w:rsid w:val="00501620"/>
    <w:rsid w:val="00503008"/>
    <w:rsid w:val="00504680"/>
    <w:rsid w:val="005050C9"/>
    <w:rsid w:val="00505CDF"/>
    <w:rsid w:val="00507772"/>
    <w:rsid w:val="00507A7A"/>
    <w:rsid w:val="00507B55"/>
    <w:rsid w:val="00507DE2"/>
    <w:rsid w:val="005102CC"/>
    <w:rsid w:val="005142CF"/>
    <w:rsid w:val="0051701B"/>
    <w:rsid w:val="00521059"/>
    <w:rsid w:val="0052117D"/>
    <w:rsid w:val="00521856"/>
    <w:rsid w:val="00521B75"/>
    <w:rsid w:val="005220D0"/>
    <w:rsid w:val="00522C1F"/>
    <w:rsid w:val="00523A73"/>
    <w:rsid w:val="00524CC2"/>
    <w:rsid w:val="00525888"/>
    <w:rsid w:val="00525905"/>
    <w:rsid w:val="00526470"/>
    <w:rsid w:val="00527A14"/>
    <w:rsid w:val="00527C75"/>
    <w:rsid w:val="005301B5"/>
    <w:rsid w:val="00530236"/>
    <w:rsid w:val="00531252"/>
    <w:rsid w:val="005322AF"/>
    <w:rsid w:val="00533767"/>
    <w:rsid w:val="00534505"/>
    <w:rsid w:val="0053630B"/>
    <w:rsid w:val="00541024"/>
    <w:rsid w:val="00546811"/>
    <w:rsid w:val="0054706A"/>
    <w:rsid w:val="005501CC"/>
    <w:rsid w:val="00550C89"/>
    <w:rsid w:val="00554CFE"/>
    <w:rsid w:val="00561CD0"/>
    <w:rsid w:val="00561DCE"/>
    <w:rsid w:val="00562B3E"/>
    <w:rsid w:val="005639BA"/>
    <w:rsid w:val="00563EC3"/>
    <w:rsid w:val="00564B6D"/>
    <w:rsid w:val="00565585"/>
    <w:rsid w:val="00566ACC"/>
    <w:rsid w:val="0056738B"/>
    <w:rsid w:val="0057004A"/>
    <w:rsid w:val="005739F2"/>
    <w:rsid w:val="00574BF4"/>
    <w:rsid w:val="005751C5"/>
    <w:rsid w:val="00576600"/>
    <w:rsid w:val="00577F3A"/>
    <w:rsid w:val="005812EB"/>
    <w:rsid w:val="005873BA"/>
    <w:rsid w:val="005876A6"/>
    <w:rsid w:val="005879DD"/>
    <w:rsid w:val="0059025F"/>
    <w:rsid w:val="005909EA"/>
    <w:rsid w:val="00592203"/>
    <w:rsid w:val="0059247C"/>
    <w:rsid w:val="00592732"/>
    <w:rsid w:val="00594706"/>
    <w:rsid w:val="005A01A7"/>
    <w:rsid w:val="005A03BD"/>
    <w:rsid w:val="005A0929"/>
    <w:rsid w:val="005A09AA"/>
    <w:rsid w:val="005A2732"/>
    <w:rsid w:val="005A39D8"/>
    <w:rsid w:val="005A4E1F"/>
    <w:rsid w:val="005A6CFE"/>
    <w:rsid w:val="005A779F"/>
    <w:rsid w:val="005B07DA"/>
    <w:rsid w:val="005B3B93"/>
    <w:rsid w:val="005B477A"/>
    <w:rsid w:val="005B6E41"/>
    <w:rsid w:val="005B6FFB"/>
    <w:rsid w:val="005B76CE"/>
    <w:rsid w:val="005B7A87"/>
    <w:rsid w:val="005C0556"/>
    <w:rsid w:val="005C13C2"/>
    <w:rsid w:val="005C60F7"/>
    <w:rsid w:val="005C60FD"/>
    <w:rsid w:val="005C68D1"/>
    <w:rsid w:val="005D1B6B"/>
    <w:rsid w:val="005D44BF"/>
    <w:rsid w:val="005D4CDF"/>
    <w:rsid w:val="005D59FB"/>
    <w:rsid w:val="005D7B7A"/>
    <w:rsid w:val="005D7FE4"/>
    <w:rsid w:val="005E1D0B"/>
    <w:rsid w:val="005E1ED3"/>
    <w:rsid w:val="005E3141"/>
    <w:rsid w:val="005E4783"/>
    <w:rsid w:val="005E5C96"/>
    <w:rsid w:val="005E611E"/>
    <w:rsid w:val="005F2ABF"/>
    <w:rsid w:val="005F3B4C"/>
    <w:rsid w:val="005F5AE5"/>
    <w:rsid w:val="005F66AA"/>
    <w:rsid w:val="005F6731"/>
    <w:rsid w:val="005F72DA"/>
    <w:rsid w:val="006014BF"/>
    <w:rsid w:val="006021D7"/>
    <w:rsid w:val="0060500D"/>
    <w:rsid w:val="00606480"/>
    <w:rsid w:val="006073E8"/>
    <w:rsid w:val="006102A5"/>
    <w:rsid w:val="00611A7A"/>
    <w:rsid w:val="00613FA3"/>
    <w:rsid w:val="006179F7"/>
    <w:rsid w:val="0062255D"/>
    <w:rsid w:val="00622C50"/>
    <w:rsid w:val="00624A1D"/>
    <w:rsid w:val="006309FD"/>
    <w:rsid w:val="006330B4"/>
    <w:rsid w:val="00636A62"/>
    <w:rsid w:val="00636D7F"/>
    <w:rsid w:val="00637791"/>
    <w:rsid w:val="006418CE"/>
    <w:rsid w:val="00643F7C"/>
    <w:rsid w:val="00644138"/>
    <w:rsid w:val="006448C3"/>
    <w:rsid w:val="0064562C"/>
    <w:rsid w:val="00645C15"/>
    <w:rsid w:val="00645C6F"/>
    <w:rsid w:val="006468C5"/>
    <w:rsid w:val="00647DD0"/>
    <w:rsid w:val="00650682"/>
    <w:rsid w:val="006524B7"/>
    <w:rsid w:val="0065259D"/>
    <w:rsid w:val="00653180"/>
    <w:rsid w:val="006550A7"/>
    <w:rsid w:val="00656AE6"/>
    <w:rsid w:val="00657AF6"/>
    <w:rsid w:val="0066170A"/>
    <w:rsid w:val="00662231"/>
    <w:rsid w:val="006666D0"/>
    <w:rsid w:val="006712F9"/>
    <w:rsid w:val="00675EF5"/>
    <w:rsid w:val="0067674E"/>
    <w:rsid w:val="00676B9F"/>
    <w:rsid w:val="00681175"/>
    <w:rsid w:val="0068211A"/>
    <w:rsid w:val="0068217E"/>
    <w:rsid w:val="00682975"/>
    <w:rsid w:val="00682B59"/>
    <w:rsid w:val="0068752E"/>
    <w:rsid w:val="0069111A"/>
    <w:rsid w:val="006920F6"/>
    <w:rsid w:val="006931D6"/>
    <w:rsid w:val="006935B2"/>
    <w:rsid w:val="006941D9"/>
    <w:rsid w:val="0069486A"/>
    <w:rsid w:val="0069763C"/>
    <w:rsid w:val="006A03A4"/>
    <w:rsid w:val="006A0A00"/>
    <w:rsid w:val="006A33B5"/>
    <w:rsid w:val="006A4982"/>
    <w:rsid w:val="006A64F1"/>
    <w:rsid w:val="006A7458"/>
    <w:rsid w:val="006A759C"/>
    <w:rsid w:val="006B0F90"/>
    <w:rsid w:val="006B2029"/>
    <w:rsid w:val="006B25E1"/>
    <w:rsid w:val="006B4329"/>
    <w:rsid w:val="006B43CE"/>
    <w:rsid w:val="006B4A10"/>
    <w:rsid w:val="006C00C3"/>
    <w:rsid w:val="006C2963"/>
    <w:rsid w:val="006C5433"/>
    <w:rsid w:val="006D3BE9"/>
    <w:rsid w:val="006D50E0"/>
    <w:rsid w:val="006D5F0F"/>
    <w:rsid w:val="006D668F"/>
    <w:rsid w:val="006D78D3"/>
    <w:rsid w:val="006E1E1E"/>
    <w:rsid w:val="006E2145"/>
    <w:rsid w:val="006E525F"/>
    <w:rsid w:val="006E6784"/>
    <w:rsid w:val="006E6C58"/>
    <w:rsid w:val="006E78FE"/>
    <w:rsid w:val="006F0378"/>
    <w:rsid w:val="006F1F55"/>
    <w:rsid w:val="006F2080"/>
    <w:rsid w:val="006F26E6"/>
    <w:rsid w:val="006F297B"/>
    <w:rsid w:val="006F2B22"/>
    <w:rsid w:val="006F4080"/>
    <w:rsid w:val="006F493C"/>
    <w:rsid w:val="006F621C"/>
    <w:rsid w:val="007011FD"/>
    <w:rsid w:val="00703A28"/>
    <w:rsid w:val="00704DBE"/>
    <w:rsid w:val="007050D4"/>
    <w:rsid w:val="00706DAC"/>
    <w:rsid w:val="0070798E"/>
    <w:rsid w:val="00713619"/>
    <w:rsid w:val="00713B4D"/>
    <w:rsid w:val="00714BEE"/>
    <w:rsid w:val="00715715"/>
    <w:rsid w:val="00715946"/>
    <w:rsid w:val="007167F7"/>
    <w:rsid w:val="00717A64"/>
    <w:rsid w:val="00721377"/>
    <w:rsid w:val="0072227E"/>
    <w:rsid w:val="007234D5"/>
    <w:rsid w:val="00724B65"/>
    <w:rsid w:val="00724EFB"/>
    <w:rsid w:val="0072561A"/>
    <w:rsid w:val="00726641"/>
    <w:rsid w:val="00727952"/>
    <w:rsid w:val="00727AF5"/>
    <w:rsid w:val="00730773"/>
    <w:rsid w:val="00731A42"/>
    <w:rsid w:val="00733558"/>
    <w:rsid w:val="0073364D"/>
    <w:rsid w:val="00735742"/>
    <w:rsid w:val="0074053B"/>
    <w:rsid w:val="00742755"/>
    <w:rsid w:val="007447D9"/>
    <w:rsid w:val="007456C1"/>
    <w:rsid w:val="00747DFD"/>
    <w:rsid w:val="00750BEE"/>
    <w:rsid w:val="007537FC"/>
    <w:rsid w:val="00754A6A"/>
    <w:rsid w:val="007567E7"/>
    <w:rsid w:val="007602B0"/>
    <w:rsid w:val="007612D9"/>
    <w:rsid w:val="00761372"/>
    <w:rsid w:val="00761FA6"/>
    <w:rsid w:val="00763AF7"/>
    <w:rsid w:val="00764CBB"/>
    <w:rsid w:val="00765EBB"/>
    <w:rsid w:val="007666C8"/>
    <w:rsid w:val="007708E2"/>
    <w:rsid w:val="007709C3"/>
    <w:rsid w:val="0077406E"/>
    <w:rsid w:val="00774196"/>
    <w:rsid w:val="00775451"/>
    <w:rsid w:val="00780858"/>
    <w:rsid w:val="00780A70"/>
    <w:rsid w:val="0078264A"/>
    <w:rsid w:val="00786E06"/>
    <w:rsid w:val="0078728E"/>
    <w:rsid w:val="007907B6"/>
    <w:rsid w:val="007922F3"/>
    <w:rsid w:val="00793B8C"/>
    <w:rsid w:val="00794AE7"/>
    <w:rsid w:val="00796B47"/>
    <w:rsid w:val="00796E20"/>
    <w:rsid w:val="007976EE"/>
    <w:rsid w:val="00797AB5"/>
    <w:rsid w:val="00797B3B"/>
    <w:rsid w:val="007A18C7"/>
    <w:rsid w:val="007A24D0"/>
    <w:rsid w:val="007A2B7C"/>
    <w:rsid w:val="007A3551"/>
    <w:rsid w:val="007A35D4"/>
    <w:rsid w:val="007A4B43"/>
    <w:rsid w:val="007A5E0E"/>
    <w:rsid w:val="007A64D4"/>
    <w:rsid w:val="007A76D8"/>
    <w:rsid w:val="007B653D"/>
    <w:rsid w:val="007C048E"/>
    <w:rsid w:val="007C04C0"/>
    <w:rsid w:val="007C159E"/>
    <w:rsid w:val="007C1D92"/>
    <w:rsid w:val="007C1E72"/>
    <w:rsid w:val="007C50D9"/>
    <w:rsid w:val="007C5719"/>
    <w:rsid w:val="007C73A2"/>
    <w:rsid w:val="007C7A0B"/>
    <w:rsid w:val="007D1F4C"/>
    <w:rsid w:val="007D2AEE"/>
    <w:rsid w:val="007D2B48"/>
    <w:rsid w:val="007D2D58"/>
    <w:rsid w:val="007D6990"/>
    <w:rsid w:val="007D6FB0"/>
    <w:rsid w:val="007E166E"/>
    <w:rsid w:val="007E19E3"/>
    <w:rsid w:val="007E300F"/>
    <w:rsid w:val="007E4960"/>
    <w:rsid w:val="007E6404"/>
    <w:rsid w:val="007E67DE"/>
    <w:rsid w:val="007E7DBA"/>
    <w:rsid w:val="007F0065"/>
    <w:rsid w:val="007F0A66"/>
    <w:rsid w:val="007F3164"/>
    <w:rsid w:val="007F355D"/>
    <w:rsid w:val="007F3780"/>
    <w:rsid w:val="007F6F03"/>
    <w:rsid w:val="00800C9C"/>
    <w:rsid w:val="008014D2"/>
    <w:rsid w:val="0080301B"/>
    <w:rsid w:val="0080489A"/>
    <w:rsid w:val="008052D8"/>
    <w:rsid w:val="00810323"/>
    <w:rsid w:val="00810C0D"/>
    <w:rsid w:val="00810F38"/>
    <w:rsid w:val="00813AF3"/>
    <w:rsid w:val="00815264"/>
    <w:rsid w:val="0081582D"/>
    <w:rsid w:val="00816FCA"/>
    <w:rsid w:val="008223DD"/>
    <w:rsid w:val="00822A3E"/>
    <w:rsid w:val="00826219"/>
    <w:rsid w:val="00826A69"/>
    <w:rsid w:val="008274FB"/>
    <w:rsid w:val="0083115B"/>
    <w:rsid w:val="00831D0D"/>
    <w:rsid w:val="00833220"/>
    <w:rsid w:val="0083374A"/>
    <w:rsid w:val="00836139"/>
    <w:rsid w:val="00843E79"/>
    <w:rsid w:val="008446C6"/>
    <w:rsid w:val="008448A0"/>
    <w:rsid w:val="008448FC"/>
    <w:rsid w:val="0084658A"/>
    <w:rsid w:val="00846E47"/>
    <w:rsid w:val="00852AA2"/>
    <w:rsid w:val="00854B1C"/>
    <w:rsid w:val="008572BB"/>
    <w:rsid w:val="008574AD"/>
    <w:rsid w:val="008612E3"/>
    <w:rsid w:val="008612E8"/>
    <w:rsid w:val="0086184E"/>
    <w:rsid w:val="008618D0"/>
    <w:rsid w:val="00863C88"/>
    <w:rsid w:val="00867356"/>
    <w:rsid w:val="00870FF7"/>
    <w:rsid w:val="00871DF1"/>
    <w:rsid w:val="00871F7B"/>
    <w:rsid w:val="00872EC7"/>
    <w:rsid w:val="0087517C"/>
    <w:rsid w:val="00876A7B"/>
    <w:rsid w:val="00877011"/>
    <w:rsid w:val="00880332"/>
    <w:rsid w:val="00880A74"/>
    <w:rsid w:val="00881D43"/>
    <w:rsid w:val="00882F8B"/>
    <w:rsid w:val="008830F0"/>
    <w:rsid w:val="00883E99"/>
    <w:rsid w:val="00884C0B"/>
    <w:rsid w:val="00884D8A"/>
    <w:rsid w:val="00885FBD"/>
    <w:rsid w:val="00886A56"/>
    <w:rsid w:val="00886C6A"/>
    <w:rsid w:val="0089022E"/>
    <w:rsid w:val="008940C3"/>
    <w:rsid w:val="00894849"/>
    <w:rsid w:val="00895EE8"/>
    <w:rsid w:val="008972E1"/>
    <w:rsid w:val="008B3B94"/>
    <w:rsid w:val="008B5ECD"/>
    <w:rsid w:val="008B74B8"/>
    <w:rsid w:val="008C3D12"/>
    <w:rsid w:val="008C4A02"/>
    <w:rsid w:val="008C556B"/>
    <w:rsid w:val="008C5E2E"/>
    <w:rsid w:val="008C656D"/>
    <w:rsid w:val="008C76C8"/>
    <w:rsid w:val="008D014A"/>
    <w:rsid w:val="008D1235"/>
    <w:rsid w:val="008D1F02"/>
    <w:rsid w:val="008D203D"/>
    <w:rsid w:val="008D4FD4"/>
    <w:rsid w:val="008E0989"/>
    <w:rsid w:val="008E1691"/>
    <w:rsid w:val="008E2B03"/>
    <w:rsid w:val="008E2E36"/>
    <w:rsid w:val="008E451E"/>
    <w:rsid w:val="008E4923"/>
    <w:rsid w:val="008E774B"/>
    <w:rsid w:val="008F1C8C"/>
    <w:rsid w:val="008F24B3"/>
    <w:rsid w:val="008F3D3F"/>
    <w:rsid w:val="008F3DD4"/>
    <w:rsid w:val="008F49A4"/>
    <w:rsid w:val="008F4C4B"/>
    <w:rsid w:val="008F79BB"/>
    <w:rsid w:val="008F7A75"/>
    <w:rsid w:val="0090030C"/>
    <w:rsid w:val="00900546"/>
    <w:rsid w:val="009009DE"/>
    <w:rsid w:val="009016C5"/>
    <w:rsid w:val="009103DC"/>
    <w:rsid w:val="00910820"/>
    <w:rsid w:val="00912543"/>
    <w:rsid w:val="00912839"/>
    <w:rsid w:val="0091548E"/>
    <w:rsid w:val="0091744B"/>
    <w:rsid w:val="0091775F"/>
    <w:rsid w:val="00922524"/>
    <w:rsid w:val="00922870"/>
    <w:rsid w:val="009239AD"/>
    <w:rsid w:val="00930146"/>
    <w:rsid w:val="00933360"/>
    <w:rsid w:val="009341EA"/>
    <w:rsid w:val="0093672E"/>
    <w:rsid w:val="00937B60"/>
    <w:rsid w:val="00940050"/>
    <w:rsid w:val="0094029E"/>
    <w:rsid w:val="00940A3E"/>
    <w:rsid w:val="00941CA6"/>
    <w:rsid w:val="009442ED"/>
    <w:rsid w:val="00947EE3"/>
    <w:rsid w:val="00951019"/>
    <w:rsid w:val="00951A34"/>
    <w:rsid w:val="00953D50"/>
    <w:rsid w:val="009556F6"/>
    <w:rsid w:val="00955CCF"/>
    <w:rsid w:val="00956110"/>
    <w:rsid w:val="009564F0"/>
    <w:rsid w:val="00956D56"/>
    <w:rsid w:val="00956E42"/>
    <w:rsid w:val="00957EA7"/>
    <w:rsid w:val="0096059C"/>
    <w:rsid w:val="00961361"/>
    <w:rsid w:val="00966093"/>
    <w:rsid w:val="00970629"/>
    <w:rsid w:val="00970BF0"/>
    <w:rsid w:val="0097247E"/>
    <w:rsid w:val="00972FDF"/>
    <w:rsid w:val="00973698"/>
    <w:rsid w:val="00974080"/>
    <w:rsid w:val="009748C3"/>
    <w:rsid w:val="0097588E"/>
    <w:rsid w:val="00975C0A"/>
    <w:rsid w:val="0097640F"/>
    <w:rsid w:val="00976CF3"/>
    <w:rsid w:val="00977AA4"/>
    <w:rsid w:val="00977B74"/>
    <w:rsid w:val="009812AE"/>
    <w:rsid w:val="0098173B"/>
    <w:rsid w:val="0098354B"/>
    <w:rsid w:val="00983642"/>
    <w:rsid w:val="00983F7E"/>
    <w:rsid w:val="009850A6"/>
    <w:rsid w:val="00986537"/>
    <w:rsid w:val="0098732B"/>
    <w:rsid w:val="00990C40"/>
    <w:rsid w:val="009925EF"/>
    <w:rsid w:val="009934E6"/>
    <w:rsid w:val="00994120"/>
    <w:rsid w:val="009A303E"/>
    <w:rsid w:val="009A3296"/>
    <w:rsid w:val="009A446C"/>
    <w:rsid w:val="009A486F"/>
    <w:rsid w:val="009A5924"/>
    <w:rsid w:val="009A5B25"/>
    <w:rsid w:val="009A5EFA"/>
    <w:rsid w:val="009B2386"/>
    <w:rsid w:val="009B3334"/>
    <w:rsid w:val="009B348F"/>
    <w:rsid w:val="009B4142"/>
    <w:rsid w:val="009B7BA2"/>
    <w:rsid w:val="009C1267"/>
    <w:rsid w:val="009C2AEA"/>
    <w:rsid w:val="009C3B53"/>
    <w:rsid w:val="009C4169"/>
    <w:rsid w:val="009C4235"/>
    <w:rsid w:val="009C5298"/>
    <w:rsid w:val="009C56FD"/>
    <w:rsid w:val="009C68A9"/>
    <w:rsid w:val="009C7F8D"/>
    <w:rsid w:val="009D0D09"/>
    <w:rsid w:val="009D15E2"/>
    <w:rsid w:val="009D3175"/>
    <w:rsid w:val="009D326F"/>
    <w:rsid w:val="009D3C17"/>
    <w:rsid w:val="009D4687"/>
    <w:rsid w:val="009D46B9"/>
    <w:rsid w:val="009D5604"/>
    <w:rsid w:val="009D62E9"/>
    <w:rsid w:val="009E2DD6"/>
    <w:rsid w:val="009E2E7D"/>
    <w:rsid w:val="009E6B53"/>
    <w:rsid w:val="009E6DE1"/>
    <w:rsid w:val="009E7B13"/>
    <w:rsid w:val="009F7FE0"/>
    <w:rsid w:val="00A004EA"/>
    <w:rsid w:val="00A00C0A"/>
    <w:rsid w:val="00A01B8C"/>
    <w:rsid w:val="00A0209D"/>
    <w:rsid w:val="00A0321C"/>
    <w:rsid w:val="00A04BD3"/>
    <w:rsid w:val="00A0564F"/>
    <w:rsid w:val="00A056AC"/>
    <w:rsid w:val="00A058DC"/>
    <w:rsid w:val="00A05F1F"/>
    <w:rsid w:val="00A06B99"/>
    <w:rsid w:val="00A10686"/>
    <w:rsid w:val="00A12BEF"/>
    <w:rsid w:val="00A13F13"/>
    <w:rsid w:val="00A14F7B"/>
    <w:rsid w:val="00A169CE"/>
    <w:rsid w:val="00A20E8F"/>
    <w:rsid w:val="00A225C4"/>
    <w:rsid w:val="00A231B6"/>
    <w:rsid w:val="00A27585"/>
    <w:rsid w:val="00A277DA"/>
    <w:rsid w:val="00A30AC5"/>
    <w:rsid w:val="00A3113D"/>
    <w:rsid w:val="00A31697"/>
    <w:rsid w:val="00A3172E"/>
    <w:rsid w:val="00A32DFD"/>
    <w:rsid w:val="00A32EF8"/>
    <w:rsid w:val="00A33F81"/>
    <w:rsid w:val="00A34BBF"/>
    <w:rsid w:val="00A34ED9"/>
    <w:rsid w:val="00A37BAC"/>
    <w:rsid w:val="00A406E6"/>
    <w:rsid w:val="00A40C29"/>
    <w:rsid w:val="00A43705"/>
    <w:rsid w:val="00A4434C"/>
    <w:rsid w:val="00A4657F"/>
    <w:rsid w:val="00A46C60"/>
    <w:rsid w:val="00A507CA"/>
    <w:rsid w:val="00A50DB4"/>
    <w:rsid w:val="00A54F9C"/>
    <w:rsid w:val="00A562C7"/>
    <w:rsid w:val="00A57AF2"/>
    <w:rsid w:val="00A60504"/>
    <w:rsid w:val="00A626BC"/>
    <w:rsid w:val="00A62F7E"/>
    <w:rsid w:val="00A63634"/>
    <w:rsid w:val="00A64247"/>
    <w:rsid w:val="00A65B65"/>
    <w:rsid w:val="00A6671C"/>
    <w:rsid w:val="00A7056D"/>
    <w:rsid w:val="00A70C60"/>
    <w:rsid w:val="00A73338"/>
    <w:rsid w:val="00A73F4F"/>
    <w:rsid w:val="00A74861"/>
    <w:rsid w:val="00A74A5B"/>
    <w:rsid w:val="00A76764"/>
    <w:rsid w:val="00A77350"/>
    <w:rsid w:val="00A81BB3"/>
    <w:rsid w:val="00A8590B"/>
    <w:rsid w:val="00A86DD0"/>
    <w:rsid w:val="00A872EA"/>
    <w:rsid w:val="00A929DD"/>
    <w:rsid w:val="00A93853"/>
    <w:rsid w:val="00A96AFC"/>
    <w:rsid w:val="00A96B3F"/>
    <w:rsid w:val="00AA14E5"/>
    <w:rsid w:val="00AA3B0B"/>
    <w:rsid w:val="00AA4451"/>
    <w:rsid w:val="00AA56A2"/>
    <w:rsid w:val="00AA5E82"/>
    <w:rsid w:val="00AA5EF0"/>
    <w:rsid w:val="00AA670F"/>
    <w:rsid w:val="00AB0C4B"/>
    <w:rsid w:val="00AB3265"/>
    <w:rsid w:val="00AB3395"/>
    <w:rsid w:val="00AB3E7D"/>
    <w:rsid w:val="00AB4706"/>
    <w:rsid w:val="00AB50B8"/>
    <w:rsid w:val="00AB67BD"/>
    <w:rsid w:val="00AB72BF"/>
    <w:rsid w:val="00AB75DD"/>
    <w:rsid w:val="00AC184D"/>
    <w:rsid w:val="00AC2D95"/>
    <w:rsid w:val="00AC2EC8"/>
    <w:rsid w:val="00AC4134"/>
    <w:rsid w:val="00AC498E"/>
    <w:rsid w:val="00AC4CBF"/>
    <w:rsid w:val="00AC5BC4"/>
    <w:rsid w:val="00AC5DF7"/>
    <w:rsid w:val="00AC6129"/>
    <w:rsid w:val="00AD08F5"/>
    <w:rsid w:val="00AD38B5"/>
    <w:rsid w:val="00AD5A5C"/>
    <w:rsid w:val="00AD5FA3"/>
    <w:rsid w:val="00AD6955"/>
    <w:rsid w:val="00AD7F33"/>
    <w:rsid w:val="00AE08D7"/>
    <w:rsid w:val="00AE2095"/>
    <w:rsid w:val="00AE46E8"/>
    <w:rsid w:val="00AE4A76"/>
    <w:rsid w:val="00AE4B00"/>
    <w:rsid w:val="00AE4BDC"/>
    <w:rsid w:val="00AE4CB0"/>
    <w:rsid w:val="00AE5B61"/>
    <w:rsid w:val="00AF1556"/>
    <w:rsid w:val="00AF1731"/>
    <w:rsid w:val="00AF1939"/>
    <w:rsid w:val="00AF1F4C"/>
    <w:rsid w:val="00AF4E0F"/>
    <w:rsid w:val="00AF4EB9"/>
    <w:rsid w:val="00AF633D"/>
    <w:rsid w:val="00AF63FD"/>
    <w:rsid w:val="00AF6FA0"/>
    <w:rsid w:val="00B00A73"/>
    <w:rsid w:val="00B01180"/>
    <w:rsid w:val="00B01953"/>
    <w:rsid w:val="00B02929"/>
    <w:rsid w:val="00B02B1D"/>
    <w:rsid w:val="00B07254"/>
    <w:rsid w:val="00B07A05"/>
    <w:rsid w:val="00B11029"/>
    <w:rsid w:val="00B110B2"/>
    <w:rsid w:val="00B13297"/>
    <w:rsid w:val="00B1341B"/>
    <w:rsid w:val="00B14B74"/>
    <w:rsid w:val="00B161B5"/>
    <w:rsid w:val="00B16ED1"/>
    <w:rsid w:val="00B203D5"/>
    <w:rsid w:val="00B226FE"/>
    <w:rsid w:val="00B238BA"/>
    <w:rsid w:val="00B23BDA"/>
    <w:rsid w:val="00B24EAB"/>
    <w:rsid w:val="00B27263"/>
    <w:rsid w:val="00B2736E"/>
    <w:rsid w:val="00B30715"/>
    <w:rsid w:val="00B308E1"/>
    <w:rsid w:val="00B30B63"/>
    <w:rsid w:val="00B32A9E"/>
    <w:rsid w:val="00B33308"/>
    <w:rsid w:val="00B33969"/>
    <w:rsid w:val="00B34F94"/>
    <w:rsid w:val="00B352C0"/>
    <w:rsid w:val="00B42A24"/>
    <w:rsid w:val="00B439FF"/>
    <w:rsid w:val="00B43EFC"/>
    <w:rsid w:val="00B467A5"/>
    <w:rsid w:val="00B46D84"/>
    <w:rsid w:val="00B47972"/>
    <w:rsid w:val="00B500A2"/>
    <w:rsid w:val="00B50BFE"/>
    <w:rsid w:val="00B50C16"/>
    <w:rsid w:val="00B51D13"/>
    <w:rsid w:val="00B52029"/>
    <w:rsid w:val="00B52048"/>
    <w:rsid w:val="00B52220"/>
    <w:rsid w:val="00B524C6"/>
    <w:rsid w:val="00B52A11"/>
    <w:rsid w:val="00B53B02"/>
    <w:rsid w:val="00B53FF4"/>
    <w:rsid w:val="00B55208"/>
    <w:rsid w:val="00B564F5"/>
    <w:rsid w:val="00B56FBB"/>
    <w:rsid w:val="00B61E6B"/>
    <w:rsid w:val="00B65A41"/>
    <w:rsid w:val="00B66B99"/>
    <w:rsid w:val="00B70562"/>
    <w:rsid w:val="00B70B5E"/>
    <w:rsid w:val="00B71783"/>
    <w:rsid w:val="00B72F55"/>
    <w:rsid w:val="00B73EDB"/>
    <w:rsid w:val="00B75BD7"/>
    <w:rsid w:val="00B75F39"/>
    <w:rsid w:val="00B76A04"/>
    <w:rsid w:val="00B806C0"/>
    <w:rsid w:val="00B808A6"/>
    <w:rsid w:val="00B81460"/>
    <w:rsid w:val="00B81499"/>
    <w:rsid w:val="00B820D8"/>
    <w:rsid w:val="00B84FF2"/>
    <w:rsid w:val="00B86B4B"/>
    <w:rsid w:val="00B86FB2"/>
    <w:rsid w:val="00B87E3B"/>
    <w:rsid w:val="00B90C32"/>
    <w:rsid w:val="00B913BC"/>
    <w:rsid w:val="00B93C10"/>
    <w:rsid w:val="00BA30B9"/>
    <w:rsid w:val="00BA4E0F"/>
    <w:rsid w:val="00BA6DB7"/>
    <w:rsid w:val="00BB4431"/>
    <w:rsid w:val="00BB4961"/>
    <w:rsid w:val="00BB619C"/>
    <w:rsid w:val="00BC1AC9"/>
    <w:rsid w:val="00BC5858"/>
    <w:rsid w:val="00BC5BA3"/>
    <w:rsid w:val="00BC5C6D"/>
    <w:rsid w:val="00BC6319"/>
    <w:rsid w:val="00BC6747"/>
    <w:rsid w:val="00BC67A9"/>
    <w:rsid w:val="00BD4B30"/>
    <w:rsid w:val="00BD527C"/>
    <w:rsid w:val="00BD58D8"/>
    <w:rsid w:val="00BD58DC"/>
    <w:rsid w:val="00BD7C91"/>
    <w:rsid w:val="00BE24EB"/>
    <w:rsid w:val="00BE277F"/>
    <w:rsid w:val="00BE35E5"/>
    <w:rsid w:val="00BE4B4F"/>
    <w:rsid w:val="00BE5EF8"/>
    <w:rsid w:val="00BE6A92"/>
    <w:rsid w:val="00BE773B"/>
    <w:rsid w:val="00BF0096"/>
    <w:rsid w:val="00BF1915"/>
    <w:rsid w:val="00BF209D"/>
    <w:rsid w:val="00BF3225"/>
    <w:rsid w:val="00BF3DB7"/>
    <w:rsid w:val="00BF48BF"/>
    <w:rsid w:val="00C01369"/>
    <w:rsid w:val="00C01622"/>
    <w:rsid w:val="00C05262"/>
    <w:rsid w:val="00C05620"/>
    <w:rsid w:val="00C06111"/>
    <w:rsid w:val="00C07CF5"/>
    <w:rsid w:val="00C11265"/>
    <w:rsid w:val="00C1268E"/>
    <w:rsid w:val="00C12EA5"/>
    <w:rsid w:val="00C14AC8"/>
    <w:rsid w:val="00C14C06"/>
    <w:rsid w:val="00C15EAD"/>
    <w:rsid w:val="00C1672D"/>
    <w:rsid w:val="00C1750E"/>
    <w:rsid w:val="00C17E52"/>
    <w:rsid w:val="00C20249"/>
    <w:rsid w:val="00C2050B"/>
    <w:rsid w:val="00C20E45"/>
    <w:rsid w:val="00C22FE7"/>
    <w:rsid w:val="00C23E48"/>
    <w:rsid w:val="00C26020"/>
    <w:rsid w:val="00C26EF0"/>
    <w:rsid w:val="00C27DEE"/>
    <w:rsid w:val="00C30B7D"/>
    <w:rsid w:val="00C31196"/>
    <w:rsid w:val="00C317EF"/>
    <w:rsid w:val="00C31C6F"/>
    <w:rsid w:val="00C31F33"/>
    <w:rsid w:val="00C3205A"/>
    <w:rsid w:val="00C3271D"/>
    <w:rsid w:val="00C34087"/>
    <w:rsid w:val="00C35FB4"/>
    <w:rsid w:val="00C37BEB"/>
    <w:rsid w:val="00C41605"/>
    <w:rsid w:val="00C43876"/>
    <w:rsid w:val="00C44452"/>
    <w:rsid w:val="00C45665"/>
    <w:rsid w:val="00C46867"/>
    <w:rsid w:val="00C47B1A"/>
    <w:rsid w:val="00C47FF7"/>
    <w:rsid w:val="00C502E6"/>
    <w:rsid w:val="00C5044A"/>
    <w:rsid w:val="00C54066"/>
    <w:rsid w:val="00C56B91"/>
    <w:rsid w:val="00C6020C"/>
    <w:rsid w:val="00C618DF"/>
    <w:rsid w:val="00C619BC"/>
    <w:rsid w:val="00C62081"/>
    <w:rsid w:val="00C62561"/>
    <w:rsid w:val="00C63EB8"/>
    <w:rsid w:val="00C66625"/>
    <w:rsid w:val="00C679CC"/>
    <w:rsid w:val="00C72DFB"/>
    <w:rsid w:val="00C72F38"/>
    <w:rsid w:val="00C74FDC"/>
    <w:rsid w:val="00C75B60"/>
    <w:rsid w:val="00C769F5"/>
    <w:rsid w:val="00C77DDD"/>
    <w:rsid w:val="00C807E4"/>
    <w:rsid w:val="00C80AF1"/>
    <w:rsid w:val="00C81073"/>
    <w:rsid w:val="00C8373F"/>
    <w:rsid w:val="00C86BA6"/>
    <w:rsid w:val="00C87139"/>
    <w:rsid w:val="00C90DFF"/>
    <w:rsid w:val="00C90E94"/>
    <w:rsid w:val="00C920AD"/>
    <w:rsid w:val="00C94C21"/>
    <w:rsid w:val="00C94FE5"/>
    <w:rsid w:val="00CA20E3"/>
    <w:rsid w:val="00CA3DA5"/>
    <w:rsid w:val="00CA4209"/>
    <w:rsid w:val="00CA4ABF"/>
    <w:rsid w:val="00CA53CA"/>
    <w:rsid w:val="00CA56F1"/>
    <w:rsid w:val="00CA59A4"/>
    <w:rsid w:val="00CB1E67"/>
    <w:rsid w:val="00CB2439"/>
    <w:rsid w:val="00CB3102"/>
    <w:rsid w:val="00CB314D"/>
    <w:rsid w:val="00CB34E9"/>
    <w:rsid w:val="00CB698B"/>
    <w:rsid w:val="00CB6F7A"/>
    <w:rsid w:val="00CB79F8"/>
    <w:rsid w:val="00CC0F6D"/>
    <w:rsid w:val="00CC1109"/>
    <w:rsid w:val="00CC3436"/>
    <w:rsid w:val="00CC66B3"/>
    <w:rsid w:val="00CD03A7"/>
    <w:rsid w:val="00CD1121"/>
    <w:rsid w:val="00CD17A2"/>
    <w:rsid w:val="00CD233A"/>
    <w:rsid w:val="00CD4327"/>
    <w:rsid w:val="00CD584C"/>
    <w:rsid w:val="00CD5DF1"/>
    <w:rsid w:val="00CD688C"/>
    <w:rsid w:val="00CD7F98"/>
    <w:rsid w:val="00CE17F8"/>
    <w:rsid w:val="00CE2755"/>
    <w:rsid w:val="00CE3102"/>
    <w:rsid w:val="00CE3E3F"/>
    <w:rsid w:val="00CF1455"/>
    <w:rsid w:val="00CF23B4"/>
    <w:rsid w:val="00CF2624"/>
    <w:rsid w:val="00CF262E"/>
    <w:rsid w:val="00CF2985"/>
    <w:rsid w:val="00D02026"/>
    <w:rsid w:val="00D0233C"/>
    <w:rsid w:val="00D026D1"/>
    <w:rsid w:val="00D02AE2"/>
    <w:rsid w:val="00D02C9C"/>
    <w:rsid w:val="00D03533"/>
    <w:rsid w:val="00D072A9"/>
    <w:rsid w:val="00D07A23"/>
    <w:rsid w:val="00D07E34"/>
    <w:rsid w:val="00D104F9"/>
    <w:rsid w:val="00D12F98"/>
    <w:rsid w:val="00D169F0"/>
    <w:rsid w:val="00D16EB6"/>
    <w:rsid w:val="00D17458"/>
    <w:rsid w:val="00D2145F"/>
    <w:rsid w:val="00D21784"/>
    <w:rsid w:val="00D223E5"/>
    <w:rsid w:val="00D2398E"/>
    <w:rsid w:val="00D24A6B"/>
    <w:rsid w:val="00D2747D"/>
    <w:rsid w:val="00D27FF6"/>
    <w:rsid w:val="00D3113D"/>
    <w:rsid w:val="00D31C0A"/>
    <w:rsid w:val="00D34963"/>
    <w:rsid w:val="00D375E3"/>
    <w:rsid w:val="00D409B9"/>
    <w:rsid w:val="00D41080"/>
    <w:rsid w:val="00D414D8"/>
    <w:rsid w:val="00D422D8"/>
    <w:rsid w:val="00D42A1D"/>
    <w:rsid w:val="00D4303A"/>
    <w:rsid w:val="00D431B7"/>
    <w:rsid w:val="00D43307"/>
    <w:rsid w:val="00D43741"/>
    <w:rsid w:val="00D45660"/>
    <w:rsid w:val="00D50C3C"/>
    <w:rsid w:val="00D53B2E"/>
    <w:rsid w:val="00D542F8"/>
    <w:rsid w:val="00D56DEF"/>
    <w:rsid w:val="00D57145"/>
    <w:rsid w:val="00D60635"/>
    <w:rsid w:val="00D60ABE"/>
    <w:rsid w:val="00D62086"/>
    <w:rsid w:val="00D62390"/>
    <w:rsid w:val="00D62400"/>
    <w:rsid w:val="00D638D5"/>
    <w:rsid w:val="00D63A7F"/>
    <w:rsid w:val="00D655E5"/>
    <w:rsid w:val="00D65EEF"/>
    <w:rsid w:val="00D668EC"/>
    <w:rsid w:val="00D70F79"/>
    <w:rsid w:val="00D7106F"/>
    <w:rsid w:val="00D71326"/>
    <w:rsid w:val="00D71D3E"/>
    <w:rsid w:val="00D72A2A"/>
    <w:rsid w:val="00D72CBF"/>
    <w:rsid w:val="00D73781"/>
    <w:rsid w:val="00D750AA"/>
    <w:rsid w:val="00D751C4"/>
    <w:rsid w:val="00D7696C"/>
    <w:rsid w:val="00D76CFC"/>
    <w:rsid w:val="00D7765F"/>
    <w:rsid w:val="00D8206F"/>
    <w:rsid w:val="00D82E77"/>
    <w:rsid w:val="00D84051"/>
    <w:rsid w:val="00D86809"/>
    <w:rsid w:val="00D86A28"/>
    <w:rsid w:val="00D8757D"/>
    <w:rsid w:val="00D90028"/>
    <w:rsid w:val="00D92139"/>
    <w:rsid w:val="00D93568"/>
    <w:rsid w:val="00D939C6"/>
    <w:rsid w:val="00D9467E"/>
    <w:rsid w:val="00D954C9"/>
    <w:rsid w:val="00D95FDF"/>
    <w:rsid w:val="00D979E1"/>
    <w:rsid w:val="00DA2E36"/>
    <w:rsid w:val="00DA33B6"/>
    <w:rsid w:val="00DA36AB"/>
    <w:rsid w:val="00DB1491"/>
    <w:rsid w:val="00DB2EBF"/>
    <w:rsid w:val="00DB4D64"/>
    <w:rsid w:val="00DB5628"/>
    <w:rsid w:val="00DB7064"/>
    <w:rsid w:val="00DB74DD"/>
    <w:rsid w:val="00DB7C51"/>
    <w:rsid w:val="00DC0393"/>
    <w:rsid w:val="00DC0B95"/>
    <w:rsid w:val="00DC1B20"/>
    <w:rsid w:val="00DC2436"/>
    <w:rsid w:val="00DC25E3"/>
    <w:rsid w:val="00DC2F96"/>
    <w:rsid w:val="00DC4032"/>
    <w:rsid w:val="00DD095A"/>
    <w:rsid w:val="00DD1DC2"/>
    <w:rsid w:val="00DD1F6D"/>
    <w:rsid w:val="00DD3906"/>
    <w:rsid w:val="00DD3A13"/>
    <w:rsid w:val="00DD5E0A"/>
    <w:rsid w:val="00DD6C71"/>
    <w:rsid w:val="00DD7EB9"/>
    <w:rsid w:val="00DE2AB6"/>
    <w:rsid w:val="00DE3272"/>
    <w:rsid w:val="00DE400D"/>
    <w:rsid w:val="00DE4F3B"/>
    <w:rsid w:val="00DE621B"/>
    <w:rsid w:val="00DE6939"/>
    <w:rsid w:val="00DF08A2"/>
    <w:rsid w:val="00DF4897"/>
    <w:rsid w:val="00DF677D"/>
    <w:rsid w:val="00DF6985"/>
    <w:rsid w:val="00DF6C1B"/>
    <w:rsid w:val="00DF70BA"/>
    <w:rsid w:val="00E0487C"/>
    <w:rsid w:val="00E048B5"/>
    <w:rsid w:val="00E0587D"/>
    <w:rsid w:val="00E11B1F"/>
    <w:rsid w:val="00E14EAD"/>
    <w:rsid w:val="00E16F19"/>
    <w:rsid w:val="00E171BD"/>
    <w:rsid w:val="00E17867"/>
    <w:rsid w:val="00E218D4"/>
    <w:rsid w:val="00E21E18"/>
    <w:rsid w:val="00E22033"/>
    <w:rsid w:val="00E221E3"/>
    <w:rsid w:val="00E22D77"/>
    <w:rsid w:val="00E24752"/>
    <w:rsid w:val="00E25723"/>
    <w:rsid w:val="00E25759"/>
    <w:rsid w:val="00E27D8C"/>
    <w:rsid w:val="00E322FF"/>
    <w:rsid w:val="00E33D14"/>
    <w:rsid w:val="00E340B9"/>
    <w:rsid w:val="00E3505E"/>
    <w:rsid w:val="00E35DA0"/>
    <w:rsid w:val="00E45235"/>
    <w:rsid w:val="00E478D4"/>
    <w:rsid w:val="00E52926"/>
    <w:rsid w:val="00E539BB"/>
    <w:rsid w:val="00E53FDF"/>
    <w:rsid w:val="00E57B48"/>
    <w:rsid w:val="00E600C5"/>
    <w:rsid w:val="00E6136C"/>
    <w:rsid w:val="00E62856"/>
    <w:rsid w:val="00E64C7F"/>
    <w:rsid w:val="00E66E18"/>
    <w:rsid w:val="00E70058"/>
    <w:rsid w:val="00E70322"/>
    <w:rsid w:val="00E71D1C"/>
    <w:rsid w:val="00E73737"/>
    <w:rsid w:val="00E73E7B"/>
    <w:rsid w:val="00E74364"/>
    <w:rsid w:val="00E7476F"/>
    <w:rsid w:val="00E754D8"/>
    <w:rsid w:val="00E763D4"/>
    <w:rsid w:val="00E77D6A"/>
    <w:rsid w:val="00E81AA8"/>
    <w:rsid w:val="00E820C5"/>
    <w:rsid w:val="00E9014C"/>
    <w:rsid w:val="00E90492"/>
    <w:rsid w:val="00E90E06"/>
    <w:rsid w:val="00E917DC"/>
    <w:rsid w:val="00E933C5"/>
    <w:rsid w:val="00E93B53"/>
    <w:rsid w:val="00E943BD"/>
    <w:rsid w:val="00E95EE5"/>
    <w:rsid w:val="00E96BA0"/>
    <w:rsid w:val="00E97865"/>
    <w:rsid w:val="00EA2B7A"/>
    <w:rsid w:val="00EA2F59"/>
    <w:rsid w:val="00EA47C5"/>
    <w:rsid w:val="00EA4F21"/>
    <w:rsid w:val="00EA5A22"/>
    <w:rsid w:val="00EA70BE"/>
    <w:rsid w:val="00EA75D2"/>
    <w:rsid w:val="00EB06E7"/>
    <w:rsid w:val="00EB083D"/>
    <w:rsid w:val="00EB230F"/>
    <w:rsid w:val="00EB38CD"/>
    <w:rsid w:val="00EB6395"/>
    <w:rsid w:val="00EB7148"/>
    <w:rsid w:val="00EC27F0"/>
    <w:rsid w:val="00EC46FA"/>
    <w:rsid w:val="00EC791F"/>
    <w:rsid w:val="00ED026B"/>
    <w:rsid w:val="00ED2444"/>
    <w:rsid w:val="00ED3B1D"/>
    <w:rsid w:val="00ED3C96"/>
    <w:rsid w:val="00ED5439"/>
    <w:rsid w:val="00ED6FD5"/>
    <w:rsid w:val="00EE1BCC"/>
    <w:rsid w:val="00EE4272"/>
    <w:rsid w:val="00EE697A"/>
    <w:rsid w:val="00EF0AAB"/>
    <w:rsid w:val="00EF0E3C"/>
    <w:rsid w:val="00EF220B"/>
    <w:rsid w:val="00EF3872"/>
    <w:rsid w:val="00EF3FF1"/>
    <w:rsid w:val="00EF4DAB"/>
    <w:rsid w:val="00EF576A"/>
    <w:rsid w:val="00EF70DC"/>
    <w:rsid w:val="00EF7A5B"/>
    <w:rsid w:val="00EF7C28"/>
    <w:rsid w:val="00F00D39"/>
    <w:rsid w:val="00F016D5"/>
    <w:rsid w:val="00F018B6"/>
    <w:rsid w:val="00F01C2E"/>
    <w:rsid w:val="00F037BC"/>
    <w:rsid w:val="00F1018D"/>
    <w:rsid w:val="00F118D7"/>
    <w:rsid w:val="00F125F9"/>
    <w:rsid w:val="00F12F1E"/>
    <w:rsid w:val="00F16167"/>
    <w:rsid w:val="00F16DF8"/>
    <w:rsid w:val="00F1748B"/>
    <w:rsid w:val="00F20300"/>
    <w:rsid w:val="00F20335"/>
    <w:rsid w:val="00F20AA9"/>
    <w:rsid w:val="00F224C8"/>
    <w:rsid w:val="00F271D1"/>
    <w:rsid w:val="00F278A4"/>
    <w:rsid w:val="00F30C73"/>
    <w:rsid w:val="00F30E08"/>
    <w:rsid w:val="00F3270A"/>
    <w:rsid w:val="00F342CF"/>
    <w:rsid w:val="00F34797"/>
    <w:rsid w:val="00F35136"/>
    <w:rsid w:val="00F355D6"/>
    <w:rsid w:val="00F35A8C"/>
    <w:rsid w:val="00F42396"/>
    <w:rsid w:val="00F438AD"/>
    <w:rsid w:val="00F43ACF"/>
    <w:rsid w:val="00F44BEB"/>
    <w:rsid w:val="00F45B8C"/>
    <w:rsid w:val="00F50EF4"/>
    <w:rsid w:val="00F513A1"/>
    <w:rsid w:val="00F51AFE"/>
    <w:rsid w:val="00F52BF5"/>
    <w:rsid w:val="00F53093"/>
    <w:rsid w:val="00F547FB"/>
    <w:rsid w:val="00F54B53"/>
    <w:rsid w:val="00F5609D"/>
    <w:rsid w:val="00F5705D"/>
    <w:rsid w:val="00F663CE"/>
    <w:rsid w:val="00F664CF"/>
    <w:rsid w:val="00F66F42"/>
    <w:rsid w:val="00F73B05"/>
    <w:rsid w:val="00F777AA"/>
    <w:rsid w:val="00F83831"/>
    <w:rsid w:val="00F84112"/>
    <w:rsid w:val="00F85EE8"/>
    <w:rsid w:val="00F85F13"/>
    <w:rsid w:val="00F86008"/>
    <w:rsid w:val="00F869C2"/>
    <w:rsid w:val="00F87C32"/>
    <w:rsid w:val="00F90CFF"/>
    <w:rsid w:val="00F91AEB"/>
    <w:rsid w:val="00F93CCE"/>
    <w:rsid w:val="00F93F9F"/>
    <w:rsid w:val="00F96712"/>
    <w:rsid w:val="00F97BF1"/>
    <w:rsid w:val="00F97CF4"/>
    <w:rsid w:val="00FA1C96"/>
    <w:rsid w:val="00FA2C31"/>
    <w:rsid w:val="00FA3313"/>
    <w:rsid w:val="00FA3CA6"/>
    <w:rsid w:val="00FA5D71"/>
    <w:rsid w:val="00FA68C6"/>
    <w:rsid w:val="00FA6A60"/>
    <w:rsid w:val="00FB3D5D"/>
    <w:rsid w:val="00FB5436"/>
    <w:rsid w:val="00FC0A5D"/>
    <w:rsid w:val="00FC167E"/>
    <w:rsid w:val="00FC2122"/>
    <w:rsid w:val="00FC25A8"/>
    <w:rsid w:val="00FC3A4F"/>
    <w:rsid w:val="00FC547C"/>
    <w:rsid w:val="00FC55FB"/>
    <w:rsid w:val="00FC5ED4"/>
    <w:rsid w:val="00FC78AF"/>
    <w:rsid w:val="00FD0381"/>
    <w:rsid w:val="00FD29AC"/>
    <w:rsid w:val="00FD426D"/>
    <w:rsid w:val="00FD480B"/>
    <w:rsid w:val="00FD66AF"/>
    <w:rsid w:val="00FE020D"/>
    <w:rsid w:val="00FE0BEA"/>
    <w:rsid w:val="00FE6CED"/>
    <w:rsid w:val="00FE7350"/>
    <w:rsid w:val="00FE7A05"/>
    <w:rsid w:val="00FF0D09"/>
    <w:rsid w:val="00FF14C1"/>
    <w:rsid w:val="00FF2938"/>
    <w:rsid w:val="00FF46D1"/>
    <w:rsid w:val="00FF4CFE"/>
    <w:rsid w:val="092A2BBE"/>
    <w:rsid w:val="0951E4BA"/>
    <w:rsid w:val="10C4A854"/>
    <w:rsid w:val="16AEFDCB"/>
    <w:rsid w:val="16E4D05B"/>
    <w:rsid w:val="1F982E65"/>
    <w:rsid w:val="247CD104"/>
    <w:rsid w:val="2586569A"/>
    <w:rsid w:val="25A58BAE"/>
    <w:rsid w:val="2C631615"/>
    <w:rsid w:val="2E0EE5E7"/>
    <w:rsid w:val="2EE8A09A"/>
    <w:rsid w:val="31F5BC41"/>
    <w:rsid w:val="32BBA9EC"/>
    <w:rsid w:val="370FD4F7"/>
    <w:rsid w:val="37D58FA0"/>
    <w:rsid w:val="38E716B7"/>
    <w:rsid w:val="39871DCC"/>
    <w:rsid w:val="3A42FDEF"/>
    <w:rsid w:val="43265CA2"/>
    <w:rsid w:val="43973EA4"/>
    <w:rsid w:val="4CBF245A"/>
    <w:rsid w:val="51A9DA47"/>
    <w:rsid w:val="51CA1601"/>
    <w:rsid w:val="53E9EA4E"/>
    <w:rsid w:val="546082AA"/>
    <w:rsid w:val="55D48B8B"/>
    <w:rsid w:val="566E891E"/>
    <w:rsid w:val="566F5AB2"/>
    <w:rsid w:val="59CF55B1"/>
    <w:rsid w:val="5BE8854F"/>
    <w:rsid w:val="5C0F39FD"/>
    <w:rsid w:val="5D1A12D1"/>
    <w:rsid w:val="66EF7955"/>
    <w:rsid w:val="6AFD693C"/>
    <w:rsid w:val="70D6CA2B"/>
    <w:rsid w:val="72645EDB"/>
    <w:rsid w:val="73BEB7FE"/>
    <w:rsid w:val="74475001"/>
    <w:rsid w:val="7514936E"/>
    <w:rsid w:val="7CD097DE"/>
    <w:rsid w:val="7DAD223B"/>
    <w:rsid w:val="7EA7E1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0D7A"/>
  <w15:docId w15:val="{1C3DA8A8-B876-4B3C-96A7-928EE805BB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7263"/>
    <w:pPr>
      <w:spacing w:after="0" w:line="240" w:lineRule="auto"/>
    </w:pPr>
    <w:rPr>
      <w:rFonts w:eastAsiaTheme="minorEastAsia"/>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27263"/>
    <w:rPr>
      <w:rFonts w:ascii="Tahoma" w:hAnsi="Tahoma" w:cs="Tahoma"/>
      <w:sz w:val="16"/>
      <w:szCs w:val="16"/>
    </w:rPr>
  </w:style>
  <w:style w:type="character" w:styleId="BalloonTextChar" w:customStyle="1">
    <w:name w:val="Balloon Text Char"/>
    <w:basedOn w:val="DefaultParagraphFont"/>
    <w:link w:val="BalloonText"/>
    <w:uiPriority w:val="99"/>
    <w:semiHidden/>
    <w:rsid w:val="00B27263"/>
    <w:rPr>
      <w:rFonts w:ascii="Tahoma" w:hAnsi="Tahoma" w:cs="Tahoma"/>
      <w:sz w:val="16"/>
      <w:szCs w:val="16"/>
    </w:rPr>
  </w:style>
  <w:style w:type="paragraph" w:styleId="Header">
    <w:name w:val="header"/>
    <w:basedOn w:val="Normal"/>
    <w:link w:val="HeaderChar"/>
    <w:uiPriority w:val="99"/>
    <w:unhideWhenUsed/>
    <w:rsid w:val="00B27263"/>
    <w:pPr>
      <w:tabs>
        <w:tab w:val="center" w:pos="4513"/>
        <w:tab w:val="right" w:pos="9026"/>
      </w:tabs>
    </w:pPr>
  </w:style>
  <w:style w:type="character" w:styleId="HeaderChar" w:customStyle="1">
    <w:name w:val="Header Char"/>
    <w:basedOn w:val="DefaultParagraphFont"/>
    <w:link w:val="Header"/>
    <w:uiPriority w:val="99"/>
    <w:rsid w:val="00B27263"/>
  </w:style>
  <w:style w:type="paragraph" w:styleId="Footer">
    <w:name w:val="footer"/>
    <w:basedOn w:val="Normal"/>
    <w:link w:val="FooterChar"/>
    <w:uiPriority w:val="99"/>
    <w:unhideWhenUsed/>
    <w:rsid w:val="00B27263"/>
    <w:pPr>
      <w:tabs>
        <w:tab w:val="center" w:pos="4513"/>
        <w:tab w:val="right" w:pos="9026"/>
      </w:tabs>
    </w:pPr>
  </w:style>
  <w:style w:type="character" w:styleId="FooterChar" w:customStyle="1">
    <w:name w:val="Footer Char"/>
    <w:basedOn w:val="DefaultParagraphFont"/>
    <w:link w:val="Footer"/>
    <w:uiPriority w:val="99"/>
    <w:rsid w:val="00B27263"/>
  </w:style>
  <w:style w:type="character" w:styleId="Emphasis">
    <w:name w:val="Emphasis"/>
    <w:basedOn w:val="DefaultParagraphFont"/>
    <w:uiPriority w:val="20"/>
    <w:qFormat/>
    <w:rsid w:val="00B27263"/>
    <w:rPr>
      <w:i/>
      <w:iCs/>
    </w:rPr>
  </w:style>
  <w:style w:type="paragraph" w:styleId="ListParagraph">
    <w:name w:val="List Paragraph"/>
    <w:basedOn w:val="Normal"/>
    <w:uiPriority w:val="34"/>
    <w:qFormat/>
    <w:rsid w:val="00B27263"/>
    <w:pPr>
      <w:ind w:left="720"/>
      <w:contextualSpacing/>
    </w:pPr>
  </w:style>
  <w:style w:type="character" w:styleId="Hyperlink">
    <w:name w:val="Hyperlink"/>
    <w:basedOn w:val="DefaultParagraphFont"/>
    <w:uiPriority w:val="99"/>
    <w:semiHidden/>
    <w:unhideWhenUsed/>
    <w:rsid w:val="00405683"/>
    <w:rPr>
      <w:color w:val="0000FF" w:themeColor="hyperlink"/>
      <w:u w:val="single"/>
    </w:rPr>
  </w:style>
  <w:style w:type="paragraph" w:styleId="Default" w:customStyle="1">
    <w:name w:val="Default"/>
    <w:rsid w:val="001B793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15192"/>
    <w:pPr>
      <w:spacing w:after="0" w:line="240" w:lineRule="auto"/>
    </w:pPr>
    <w:rPr>
      <w:rFonts w:eastAsiaTheme="minorEastAsia"/>
      <w:sz w:val="24"/>
      <w:szCs w:val="24"/>
      <w:lang w:val="en-US"/>
    </w:rPr>
  </w:style>
  <w:style w:type="paragraph" w:styleId="Bullet1" w:customStyle="1">
    <w:name w:val="Bullet 1"/>
    <w:basedOn w:val="Normal"/>
    <w:rsid w:val="00CD4327"/>
    <w:pPr>
      <w:numPr>
        <w:numId w:val="5"/>
      </w:numPr>
      <w:spacing w:after="240" w:line="360" w:lineRule="auto"/>
      <w:contextualSpacing/>
    </w:pPr>
    <w:rPr>
      <w:rFonts w:ascii="Tahoma" w:hAnsi="Tahoma" w:eastAsia="Times New Roman" w:cs="Times New Roman"/>
      <w:sz w:val="20"/>
      <w:szCs w:val="20"/>
      <w:lang w:val="en-GB"/>
    </w:rPr>
  </w:style>
  <w:style w:type="paragraph" w:styleId="Vectosbulletpoints" w:customStyle="1">
    <w:name w:val="Vectos bullet points"/>
    <w:basedOn w:val="Bullet1"/>
    <w:link w:val="VectosbulletpointsChar"/>
    <w:qFormat/>
    <w:rsid w:val="00CD4327"/>
    <w:pPr>
      <w:jc w:val="both"/>
    </w:pPr>
    <w:rPr>
      <w:rFonts w:ascii="Calibri" w:hAnsi="Calibri"/>
      <w:sz w:val="22"/>
    </w:rPr>
  </w:style>
  <w:style w:type="character" w:styleId="VectosbulletpointsChar" w:customStyle="1">
    <w:name w:val="Vectos bullet points Char"/>
    <w:link w:val="Vectosbulletpoints"/>
    <w:rsid w:val="00CD4327"/>
    <w:rPr>
      <w:rFonts w:ascii="Calibri" w:hAnsi="Calibri" w:eastAsia="Times New Roman" w:cs="Times New Roman"/>
      <w:szCs w:val="20"/>
    </w:rPr>
  </w:style>
  <w:style w:type="paragraph" w:styleId="VectosHeading1" w:customStyle="1">
    <w:name w:val="Vectos Heading 1"/>
    <w:basedOn w:val="Normal"/>
    <w:qFormat/>
    <w:rsid w:val="00CD4327"/>
    <w:pPr>
      <w:keepNext/>
      <w:keepLines/>
      <w:pageBreakBefore/>
      <w:numPr>
        <w:numId w:val="6"/>
      </w:numPr>
      <w:spacing w:after="240" w:line="288" w:lineRule="auto"/>
      <w:outlineLvl w:val="0"/>
    </w:pPr>
    <w:rPr>
      <w:rFonts w:ascii="Calibri" w:hAnsi="Calibri" w:eastAsia="Times New Roman" w:cs="Times New Roman"/>
      <w:b/>
      <w:caps/>
      <w:kern w:val="28"/>
      <w:sz w:val="28"/>
      <w:szCs w:val="20"/>
      <w:lang w:val="en-GB"/>
    </w:rPr>
  </w:style>
  <w:style w:type="paragraph" w:styleId="VectosHeading2" w:customStyle="1">
    <w:name w:val="Vectos Heading 2"/>
    <w:basedOn w:val="Normal"/>
    <w:qFormat/>
    <w:rsid w:val="00CD4327"/>
    <w:pPr>
      <w:keepNext/>
      <w:keepLines/>
      <w:numPr>
        <w:ilvl w:val="1"/>
        <w:numId w:val="6"/>
      </w:numPr>
      <w:spacing w:after="240" w:line="288" w:lineRule="auto"/>
      <w:outlineLvl w:val="1"/>
    </w:pPr>
    <w:rPr>
      <w:rFonts w:ascii="Calibri" w:hAnsi="Calibri" w:eastAsia="Times New Roman" w:cs="Times New Roman"/>
      <w:b/>
      <w:kern w:val="28"/>
      <w:sz w:val="22"/>
      <w:szCs w:val="20"/>
      <w:lang w:val="en-GB"/>
    </w:rPr>
  </w:style>
  <w:style w:type="paragraph" w:styleId="VectosParagraph" w:customStyle="1">
    <w:name w:val="Vectos Paragraph"/>
    <w:basedOn w:val="Normal"/>
    <w:link w:val="VectosParagraphChar"/>
    <w:qFormat/>
    <w:rsid w:val="00CD4327"/>
    <w:pPr>
      <w:keepLines/>
      <w:numPr>
        <w:ilvl w:val="2"/>
        <w:numId w:val="6"/>
      </w:numPr>
      <w:spacing w:after="240" w:line="360" w:lineRule="auto"/>
      <w:jc w:val="both"/>
    </w:pPr>
    <w:rPr>
      <w:rFonts w:ascii="Calibri" w:hAnsi="Calibri" w:eastAsia="Times New Roman" w:cs="Times New Roman"/>
      <w:sz w:val="22"/>
      <w:szCs w:val="20"/>
      <w:lang w:val="en-GB"/>
    </w:rPr>
  </w:style>
  <w:style w:type="character" w:styleId="VectosParagraphChar" w:customStyle="1">
    <w:name w:val="Vectos Paragraph Char"/>
    <w:link w:val="VectosParagraph"/>
    <w:rsid w:val="00CD4327"/>
    <w:rPr>
      <w:rFonts w:ascii="Calibri" w:hAnsi="Calibri" w:eastAsia="Times New Roman" w:cs="Times New Roman"/>
      <w:szCs w:val="20"/>
    </w:rPr>
  </w:style>
  <w:style w:type="paragraph" w:styleId="TOC2">
    <w:name w:val="toc 2"/>
    <w:basedOn w:val="TOC1"/>
    <w:next w:val="Normal"/>
    <w:uiPriority w:val="39"/>
    <w:rsid w:val="00CD4327"/>
    <w:pPr>
      <w:tabs>
        <w:tab w:val="left" w:pos="567"/>
        <w:tab w:val="right" w:leader="dot" w:pos="8505"/>
      </w:tabs>
      <w:spacing w:after="0" w:line="288" w:lineRule="auto"/>
      <w:ind w:left="567"/>
    </w:pPr>
    <w:rPr>
      <w:rFonts w:ascii="Calibri" w:hAnsi="Calibri" w:eastAsia="Times New Roman" w:cs="Times New Roman"/>
      <w:b/>
      <w:noProof/>
      <w:sz w:val="22"/>
      <w:szCs w:val="20"/>
      <w:lang w:val="en-GB"/>
    </w:rPr>
  </w:style>
  <w:style w:type="paragraph" w:styleId="TOC1">
    <w:name w:val="toc 1"/>
    <w:basedOn w:val="Normal"/>
    <w:next w:val="Normal"/>
    <w:autoRedefine/>
    <w:uiPriority w:val="39"/>
    <w:semiHidden/>
    <w:unhideWhenUsed/>
    <w:rsid w:val="00CD4327"/>
    <w:pPr>
      <w:spacing w:after="100"/>
    </w:pPr>
  </w:style>
  <w:style w:type="paragraph" w:styleId="Paragraph" w:customStyle="1">
    <w:name w:val="Paragraph"/>
    <w:basedOn w:val="Normal"/>
    <w:link w:val="ParagraphChar"/>
    <w:qFormat/>
    <w:rsid w:val="005D7FE4"/>
    <w:pPr>
      <w:keepNext/>
      <w:keepLines/>
      <w:spacing w:after="240" w:line="288" w:lineRule="auto"/>
      <w:jc w:val="both"/>
      <w:outlineLvl w:val="1"/>
    </w:pPr>
    <w:rPr>
      <w:rFonts w:ascii="Calibri" w:hAnsi="Calibri" w:eastAsia="Times New Roman" w:cs="Times New Roman"/>
      <w:kern w:val="28"/>
      <w:sz w:val="22"/>
      <w:szCs w:val="20"/>
      <w:lang w:val="en-GB"/>
    </w:rPr>
  </w:style>
  <w:style w:type="character" w:styleId="ParagraphChar" w:customStyle="1">
    <w:name w:val="Paragraph Char"/>
    <w:basedOn w:val="DefaultParagraphFont"/>
    <w:link w:val="Paragraph"/>
    <w:rsid w:val="005D7FE4"/>
    <w:rPr>
      <w:rFonts w:ascii="Calibri" w:hAnsi="Calibri" w:eastAsia="Times New Roman" w:cs="Times New Roman"/>
      <w:kern w:val="28"/>
      <w:szCs w:val="20"/>
    </w:rPr>
  </w:style>
  <w:style w:type="paragraph" w:styleId="16" w:customStyle="1">
    <w:name w:val="_16"/>
    <w:uiPriority w:val="99"/>
    <w:rsid w:val="000667C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eastAsia="Times New Roman" w:cs="Times New Roman"/>
      <w:sz w:val="24"/>
      <w:szCs w:val="24"/>
      <w:lang w:eastAsia="en-GB"/>
    </w:rPr>
  </w:style>
  <w:style w:type="table" w:styleId="TableGrid">
    <w:name w:val="Table Grid"/>
    <w:basedOn w:val="TableNormal"/>
    <w:uiPriority w:val="59"/>
    <w:rsid w:val="000667CC"/>
    <w:pPr>
      <w:spacing w:after="0" w:line="240" w:lineRule="auto"/>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14E33"/>
    <w:rPr>
      <w:rFonts w:eastAsiaTheme="minorHAnsi"/>
      <w:sz w:val="20"/>
      <w:szCs w:val="20"/>
      <w:lang w:val="en-GB"/>
    </w:rPr>
  </w:style>
  <w:style w:type="character" w:styleId="FootnoteTextChar" w:customStyle="1">
    <w:name w:val="Footnote Text Char"/>
    <w:basedOn w:val="DefaultParagraphFont"/>
    <w:link w:val="FootnoteText"/>
    <w:uiPriority w:val="99"/>
    <w:semiHidden/>
    <w:rsid w:val="00214E33"/>
    <w:rPr>
      <w:sz w:val="20"/>
      <w:szCs w:val="20"/>
    </w:rPr>
  </w:style>
  <w:style w:type="character" w:styleId="FootnoteReference">
    <w:name w:val="footnote reference"/>
    <w:basedOn w:val="DefaultParagraphFont"/>
    <w:uiPriority w:val="99"/>
    <w:semiHidden/>
    <w:unhideWhenUsed/>
    <w:rsid w:val="00214E33"/>
    <w:rPr>
      <w:vertAlign w:val="superscript"/>
    </w:rPr>
  </w:style>
  <w:style w:type="paragraph" w:styleId="NormalWeb">
    <w:name w:val="Normal (Web)"/>
    <w:basedOn w:val="Normal"/>
    <w:uiPriority w:val="99"/>
    <w:semiHidden/>
    <w:unhideWhenUsed/>
    <w:rsid w:val="005E611E"/>
    <w:pPr>
      <w:spacing w:before="100" w:beforeAutospacing="1" w:after="100" w:afterAutospacing="1"/>
    </w:pPr>
    <w:rPr>
      <w:rFonts w:ascii="Times New Roman" w:hAnsi="Times New Roman" w:eastAsia="Times New Roman" w:cs="Times New Roman"/>
      <w:lang w:val="en-GB" w:eastAsia="en-GB"/>
    </w:rPr>
  </w:style>
  <w:style w:type="paragraph" w:styleId="xxmsonormal" w:customStyle="1">
    <w:name w:val="x_xmsonormal"/>
    <w:basedOn w:val="Normal"/>
    <w:rsid w:val="00872EC7"/>
    <w:rPr>
      <w:rFonts w:ascii="Calibri" w:hAnsi="Calibri" w:cs="Calibri" w:eastAsiaTheme="minorHAns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3117">
      <w:bodyDiv w:val="1"/>
      <w:marLeft w:val="0"/>
      <w:marRight w:val="0"/>
      <w:marTop w:val="0"/>
      <w:marBottom w:val="0"/>
      <w:divBdr>
        <w:top w:val="none" w:sz="0" w:space="0" w:color="auto"/>
        <w:left w:val="none" w:sz="0" w:space="0" w:color="auto"/>
        <w:bottom w:val="none" w:sz="0" w:space="0" w:color="auto"/>
        <w:right w:val="none" w:sz="0" w:space="0" w:color="auto"/>
      </w:divBdr>
    </w:div>
    <w:div w:id="310712588">
      <w:bodyDiv w:val="1"/>
      <w:marLeft w:val="0"/>
      <w:marRight w:val="0"/>
      <w:marTop w:val="0"/>
      <w:marBottom w:val="0"/>
      <w:divBdr>
        <w:top w:val="none" w:sz="0" w:space="0" w:color="auto"/>
        <w:left w:val="none" w:sz="0" w:space="0" w:color="auto"/>
        <w:bottom w:val="none" w:sz="0" w:space="0" w:color="auto"/>
        <w:right w:val="none" w:sz="0" w:space="0" w:color="auto"/>
      </w:divBdr>
    </w:div>
    <w:div w:id="515074244">
      <w:bodyDiv w:val="1"/>
      <w:marLeft w:val="0"/>
      <w:marRight w:val="0"/>
      <w:marTop w:val="0"/>
      <w:marBottom w:val="0"/>
      <w:divBdr>
        <w:top w:val="none" w:sz="0" w:space="0" w:color="auto"/>
        <w:left w:val="none" w:sz="0" w:space="0" w:color="auto"/>
        <w:bottom w:val="none" w:sz="0" w:space="0" w:color="auto"/>
        <w:right w:val="none" w:sz="0" w:space="0" w:color="auto"/>
      </w:divBdr>
    </w:div>
    <w:div w:id="714351121">
      <w:bodyDiv w:val="1"/>
      <w:marLeft w:val="0"/>
      <w:marRight w:val="0"/>
      <w:marTop w:val="0"/>
      <w:marBottom w:val="0"/>
      <w:divBdr>
        <w:top w:val="none" w:sz="0" w:space="0" w:color="auto"/>
        <w:left w:val="none" w:sz="0" w:space="0" w:color="auto"/>
        <w:bottom w:val="none" w:sz="0" w:space="0" w:color="auto"/>
        <w:right w:val="none" w:sz="0" w:space="0" w:color="auto"/>
      </w:divBdr>
    </w:div>
    <w:div w:id="744227183">
      <w:bodyDiv w:val="1"/>
      <w:marLeft w:val="0"/>
      <w:marRight w:val="0"/>
      <w:marTop w:val="0"/>
      <w:marBottom w:val="0"/>
      <w:divBdr>
        <w:top w:val="none" w:sz="0" w:space="0" w:color="auto"/>
        <w:left w:val="none" w:sz="0" w:space="0" w:color="auto"/>
        <w:bottom w:val="none" w:sz="0" w:space="0" w:color="auto"/>
        <w:right w:val="none" w:sz="0" w:space="0" w:color="auto"/>
      </w:divBdr>
    </w:div>
    <w:div w:id="797722343">
      <w:bodyDiv w:val="1"/>
      <w:marLeft w:val="0"/>
      <w:marRight w:val="0"/>
      <w:marTop w:val="0"/>
      <w:marBottom w:val="0"/>
      <w:divBdr>
        <w:top w:val="none" w:sz="0" w:space="0" w:color="auto"/>
        <w:left w:val="none" w:sz="0" w:space="0" w:color="auto"/>
        <w:bottom w:val="none" w:sz="0" w:space="0" w:color="auto"/>
        <w:right w:val="none" w:sz="0" w:space="0" w:color="auto"/>
      </w:divBdr>
    </w:div>
    <w:div w:id="1005278637">
      <w:bodyDiv w:val="1"/>
      <w:marLeft w:val="0"/>
      <w:marRight w:val="0"/>
      <w:marTop w:val="0"/>
      <w:marBottom w:val="0"/>
      <w:divBdr>
        <w:top w:val="none" w:sz="0" w:space="0" w:color="auto"/>
        <w:left w:val="none" w:sz="0" w:space="0" w:color="auto"/>
        <w:bottom w:val="none" w:sz="0" w:space="0" w:color="auto"/>
        <w:right w:val="none" w:sz="0" w:space="0" w:color="auto"/>
      </w:divBdr>
    </w:div>
    <w:div w:id="1243296808">
      <w:bodyDiv w:val="1"/>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sChild>
    </w:div>
    <w:div w:id="1402213429">
      <w:bodyDiv w:val="1"/>
      <w:marLeft w:val="0"/>
      <w:marRight w:val="0"/>
      <w:marTop w:val="0"/>
      <w:marBottom w:val="0"/>
      <w:divBdr>
        <w:top w:val="none" w:sz="0" w:space="0" w:color="auto"/>
        <w:left w:val="none" w:sz="0" w:space="0" w:color="auto"/>
        <w:bottom w:val="none" w:sz="0" w:space="0" w:color="auto"/>
        <w:right w:val="none" w:sz="0" w:space="0" w:color="auto"/>
      </w:divBdr>
    </w:div>
    <w:div w:id="1472556097">
      <w:bodyDiv w:val="1"/>
      <w:marLeft w:val="0"/>
      <w:marRight w:val="0"/>
      <w:marTop w:val="0"/>
      <w:marBottom w:val="0"/>
      <w:divBdr>
        <w:top w:val="none" w:sz="0" w:space="0" w:color="auto"/>
        <w:left w:val="none" w:sz="0" w:space="0" w:color="auto"/>
        <w:bottom w:val="none" w:sz="0" w:space="0" w:color="auto"/>
        <w:right w:val="none" w:sz="0" w:space="0" w:color="auto"/>
      </w:divBdr>
    </w:div>
    <w:div w:id="1498619728">
      <w:bodyDiv w:val="1"/>
      <w:marLeft w:val="0"/>
      <w:marRight w:val="0"/>
      <w:marTop w:val="0"/>
      <w:marBottom w:val="0"/>
      <w:divBdr>
        <w:top w:val="none" w:sz="0" w:space="0" w:color="auto"/>
        <w:left w:val="none" w:sz="0" w:space="0" w:color="auto"/>
        <w:bottom w:val="none" w:sz="0" w:space="0" w:color="auto"/>
        <w:right w:val="none" w:sz="0" w:space="0" w:color="auto"/>
      </w:divBdr>
    </w:div>
    <w:div w:id="1577547107">
      <w:bodyDiv w:val="1"/>
      <w:marLeft w:val="0"/>
      <w:marRight w:val="0"/>
      <w:marTop w:val="0"/>
      <w:marBottom w:val="0"/>
      <w:divBdr>
        <w:top w:val="none" w:sz="0" w:space="0" w:color="auto"/>
        <w:left w:val="none" w:sz="0" w:space="0" w:color="auto"/>
        <w:bottom w:val="none" w:sz="0" w:space="0" w:color="auto"/>
        <w:right w:val="none" w:sz="0" w:space="0" w:color="auto"/>
      </w:divBdr>
    </w:div>
    <w:div w:id="1703050381">
      <w:bodyDiv w:val="1"/>
      <w:marLeft w:val="0"/>
      <w:marRight w:val="0"/>
      <w:marTop w:val="0"/>
      <w:marBottom w:val="0"/>
      <w:divBdr>
        <w:top w:val="none" w:sz="0" w:space="0" w:color="auto"/>
        <w:left w:val="none" w:sz="0" w:space="0" w:color="auto"/>
        <w:bottom w:val="none" w:sz="0" w:space="0" w:color="auto"/>
        <w:right w:val="none" w:sz="0" w:space="0" w:color="auto"/>
      </w:divBdr>
      <w:divsChild>
        <w:div w:id="913323855">
          <w:marLeft w:val="0"/>
          <w:marRight w:val="0"/>
          <w:marTop w:val="0"/>
          <w:marBottom w:val="0"/>
          <w:divBdr>
            <w:top w:val="none" w:sz="0" w:space="0" w:color="auto"/>
            <w:left w:val="none" w:sz="0" w:space="0" w:color="auto"/>
            <w:bottom w:val="none" w:sz="0" w:space="0" w:color="auto"/>
            <w:right w:val="none" w:sz="0" w:space="0" w:color="auto"/>
          </w:divBdr>
        </w:div>
      </w:divsChild>
    </w:div>
    <w:div w:id="1749419397">
      <w:bodyDiv w:val="1"/>
      <w:marLeft w:val="0"/>
      <w:marRight w:val="0"/>
      <w:marTop w:val="0"/>
      <w:marBottom w:val="0"/>
      <w:divBdr>
        <w:top w:val="none" w:sz="0" w:space="0" w:color="auto"/>
        <w:left w:val="none" w:sz="0" w:space="0" w:color="auto"/>
        <w:bottom w:val="none" w:sz="0" w:space="0" w:color="auto"/>
        <w:right w:val="none" w:sz="0" w:space="0" w:color="auto"/>
      </w:divBdr>
      <w:divsChild>
        <w:div w:id="296107315">
          <w:marLeft w:val="0"/>
          <w:marRight w:val="0"/>
          <w:marTop w:val="0"/>
          <w:marBottom w:val="0"/>
          <w:divBdr>
            <w:top w:val="none" w:sz="0" w:space="0" w:color="auto"/>
            <w:left w:val="none" w:sz="0" w:space="0" w:color="auto"/>
            <w:bottom w:val="none" w:sz="0" w:space="0" w:color="auto"/>
            <w:right w:val="none" w:sz="0" w:space="0" w:color="auto"/>
          </w:divBdr>
        </w:div>
      </w:divsChild>
    </w:div>
    <w:div w:id="1902523692">
      <w:bodyDiv w:val="1"/>
      <w:marLeft w:val="0"/>
      <w:marRight w:val="0"/>
      <w:marTop w:val="0"/>
      <w:marBottom w:val="0"/>
      <w:divBdr>
        <w:top w:val="none" w:sz="0" w:space="0" w:color="auto"/>
        <w:left w:val="none" w:sz="0" w:space="0" w:color="auto"/>
        <w:bottom w:val="none" w:sz="0" w:space="0" w:color="auto"/>
        <w:right w:val="none" w:sz="0" w:space="0" w:color="auto"/>
      </w:divBdr>
    </w:div>
    <w:div w:id="1908029581">
      <w:bodyDiv w:val="1"/>
      <w:marLeft w:val="0"/>
      <w:marRight w:val="0"/>
      <w:marTop w:val="0"/>
      <w:marBottom w:val="0"/>
      <w:divBdr>
        <w:top w:val="none" w:sz="0" w:space="0" w:color="auto"/>
        <w:left w:val="none" w:sz="0" w:space="0" w:color="auto"/>
        <w:bottom w:val="none" w:sz="0" w:space="0" w:color="auto"/>
        <w:right w:val="none" w:sz="0" w:space="0" w:color="auto"/>
      </w:divBdr>
    </w:div>
    <w:div w:id="1938102375">
      <w:bodyDiv w:val="1"/>
      <w:marLeft w:val="0"/>
      <w:marRight w:val="0"/>
      <w:marTop w:val="0"/>
      <w:marBottom w:val="0"/>
      <w:divBdr>
        <w:top w:val="none" w:sz="0" w:space="0" w:color="auto"/>
        <w:left w:val="none" w:sz="0" w:space="0" w:color="auto"/>
        <w:bottom w:val="none" w:sz="0" w:space="0" w:color="auto"/>
        <w:right w:val="none" w:sz="0" w:space="0" w:color="auto"/>
      </w:divBdr>
    </w:div>
    <w:div w:id="1978297463">
      <w:bodyDiv w:val="1"/>
      <w:marLeft w:val="0"/>
      <w:marRight w:val="0"/>
      <w:marTop w:val="0"/>
      <w:marBottom w:val="0"/>
      <w:divBdr>
        <w:top w:val="none" w:sz="0" w:space="0" w:color="auto"/>
        <w:left w:val="none" w:sz="0" w:space="0" w:color="auto"/>
        <w:bottom w:val="none" w:sz="0" w:space="0" w:color="auto"/>
        <w:right w:val="none" w:sz="0" w:space="0" w:color="auto"/>
      </w:divBdr>
      <w:divsChild>
        <w:div w:id="1078989238">
          <w:marLeft w:val="0"/>
          <w:marRight w:val="0"/>
          <w:marTop w:val="0"/>
          <w:marBottom w:val="0"/>
          <w:divBdr>
            <w:top w:val="none" w:sz="0" w:space="0" w:color="auto"/>
            <w:left w:val="none" w:sz="0" w:space="0" w:color="auto"/>
            <w:bottom w:val="none" w:sz="0" w:space="0" w:color="auto"/>
            <w:right w:val="none" w:sz="0" w:space="0" w:color="auto"/>
          </w:divBdr>
        </w:div>
      </w:divsChild>
    </w:div>
    <w:div w:id="1997756655">
      <w:bodyDiv w:val="1"/>
      <w:marLeft w:val="0"/>
      <w:marRight w:val="0"/>
      <w:marTop w:val="0"/>
      <w:marBottom w:val="0"/>
      <w:divBdr>
        <w:top w:val="none" w:sz="0" w:space="0" w:color="auto"/>
        <w:left w:val="none" w:sz="0" w:space="0" w:color="auto"/>
        <w:bottom w:val="none" w:sz="0" w:space="0" w:color="auto"/>
        <w:right w:val="none" w:sz="0" w:space="0" w:color="auto"/>
      </w:divBdr>
    </w:div>
    <w:div w:id="2058159367">
      <w:bodyDiv w:val="1"/>
      <w:marLeft w:val="0"/>
      <w:marRight w:val="0"/>
      <w:marTop w:val="0"/>
      <w:marBottom w:val="0"/>
      <w:divBdr>
        <w:top w:val="none" w:sz="0" w:space="0" w:color="auto"/>
        <w:left w:val="none" w:sz="0" w:space="0" w:color="auto"/>
        <w:bottom w:val="none" w:sz="0" w:space="0" w:color="auto"/>
        <w:right w:val="none" w:sz="0" w:space="0" w:color="auto"/>
      </w:divBdr>
    </w:div>
    <w:div w:id="2118286074">
      <w:bodyDiv w:val="1"/>
      <w:marLeft w:val="0"/>
      <w:marRight w:val="0"/>
      <w:marTop w:val="0"/>
      <w:marBottom w:val="0"/>
      <w:divBdr>
        <w:top w:val="none" w:sz="0" w:space="0" w:color="auto"/>
        <w:left w:val="none" w:sz="0" w:space="0" w:color="auto"/>
        <w:bottom w:val="none" w:sz="0" w:space="0" w:color="auto"/>
        <w:right w:val="none" w:sz="0" w:space="0" w:color="auto"/>
      </w:divBdr>
    </w:div>
    <w:div w:id="21362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bc6dbd9ccdb947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726ec2-54b3-4f98-ab4a-83b5f57e7cd1}"/>
      </w:docPartPr>
      <w:docPartBody>
        <w:p w14:paraId="288207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F2630F8F8C459440940898619EAE" ma:contentTypeVersion="23" ma:contentTypeDescription="Create a new document." ma:contentTypeScope="" ma:versionID="84fb5dd4932e7a7621c37c8008e0ba62">
  <xsd:schema xmlns:xsd="http://www.w3.org/2001/XMLSchema" xmlns:xs="http://www.w3.org/2001/XMLSchema" xmlns:p="http://schemas.microsoft.com/office/2006/metadata/properties" xmlns:ns2="fc4c8dc1-eb1b-4fca-8a84-86574a689371" xmlns:ns3="1dc20cce-6c50-4e99-93ab-d9d574867518" targetNamespace="http://schemas.microsoft.com/office/2006/metadata/properties" ma:root="true" ma:fieldsID="06bc851c3dd850efec52ad225eca2790" ns2:_="" ns3:_="">
    <xsd:import namespace="fc4c8dc1-eb1b-4fca-8a84-86574a689371"/>
    <xsd:import namespace="1dc20cce-6c50-4e99-93ab-d9d5748675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c8dc1-eb1b-4fca-8a84-86574a6893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63ca2-52ff-41ca-80f2-492a4909812d}" ma:internalName="TaxCatchAll" ma:showField="CatchAllData" ma:web="fc4c8dc1-eb1b-4fca-8a84-86574a689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20cce-6c50-4e99-93ab-d9d5748675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ce80a6-dfe6-4273-adb0-b01aa6fea5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dc20cce-6c50-4e99-93ab-d9d574867518" xsi:nil="true"/>
    <SharedWithUsers xmlns="fc4c8dc1-eb1b-4fca-8a84-86574a689371">
      <UserInfo>
        <DisplayName/>
        <AccountId xsi:nil="true"/>
        <AccountType/>
      </UserInfo>
    </SharedWithUsers>
    <MediaLengthInSeconds xmlns="1dc20cce-6c50-4e99-93ab-d9d574867518" xsi:nil="true"/>
    <TaxCatchAll xmlns="fc4c8dc1-eb1b-4fca-8a84-86574a689371" xsi:nil="true"/>
    <lcf76f155ced4ddcb4097134ff3c332f xmlns="1dc20cce-6c50-4e99-93ab-d9d574867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8AF213-B63B-4017-B542-7CD88821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c8dc1-eb1b-4fca-8a84-86574a689371"/>
    <ds:schemaRef ds:uri="1dc20cce-6c50-4e99-93ab-d9d57486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D79D7-C6B8-4EA9-AF53-2F5F43833F07}">
  <ds:schemaRefs>
    <ds:schemaRef ds:uri="http://schemas.microsoft.com/sharepoint/v3/contenttype/forms"/>
  </ds:schemaRefs>
</ds:datastoreItem>
</file>

<file path=customXml/itemProps3.xml><?xml version="1.0" encoding="utf-8"?>
<ds:datastoreItem xmlns:ds="http://schemas.openxmlformats.org/officeDocument/2006/customXml" ds:itemID="{F3DF3631-3ECF-4E26-B892-9D0C9EE58592}">
  <ds:schemaRefs>
    <ds:schemaRef ds:uri="http://schemas.microsoft.com/office/2006/metadata/properties"/>
    <ds:schemaRef ds:uri="http://schemas.microsoft.com/office/infopath/2007/PartnerControls"/>
    <ds:schemaRef ds:uri="1dc20cce-6c50-4e99-93ab-d9d574867518"/>
    <ds:schemaRef ds:uri="fc4c8dc1-eb1b-4fca-8a84-86574a68937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ClearChannel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cc</dc:creator>
  <keywords/>
  <lastModifiedBy>Cook, Sue</lastModifiedBy>
  <revision>7</revision>
  <lastPrinted>2019-03-11T10:58:00.0000000Z</lastPrinted>
  <dcterms:created xsi:type="dcterms:W3CDTF">2023-02-27T15:19:00.0000000Z</dcterms:created>
  <dcterms:modified xsi:type="dcterms:W3CDTF">2023-02-27T15:23:44.4386542Z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0x010100D931F2630F8F8C459440940898619EAE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1294300</vt:r8>
  </property>
  <property fmtid="{D5CDD505-2E9C-101B-9397-08002B2CF9AE}" pid="7" name="MediaServiceImageTags">
    <vt:lpwstr/>
  </property>
  <property fmtid="{D5CDD505-2E9C-101B-9397-08002B2CF9AE}" pid="8" name="MSIP_Label_5d971c6e-6bf9-4e6f-b900-b8371d9fa23f_Enabled">
    <vt:lpwstr>true</vt:lpwstr>
  </property>
  <property fmtid="{D5CDD505-2E9C-101B-9397-08002B2CF9AE}" pid="9" name="MSIP_Label_5d971c6e-6bf9-4e6f-b900-b8371d9fa23f_SetDate">
    <vt:lpwstr>2023-02-27T15:19:40Z</vt:lpwstr>
  </property>
  <property fmtid="{D5CDD505-2E9C-101B-9397-08002B2CF9AE}" pid="10" name="MSIP_Label_5d971c6e-6bf9-4e6f-b900-b8371d9fa23f_Method">
    <vt:lpwstr>Standard</vt:lpwstr>
  </property>
  <property fmtid="{D5CDD505-2E9C-101B-9397-08002B2CF9AE}" pid="11" name="MSIP_Label_5d971c6e-6bf9-4e6f-b900-b8371d9fa23f_Name">
    <vt:lpwstr>Internal</vt:lpwstr>
  </property>
  <property fmtid="{D5CDD505-2E9C-101B-9397-08002B2CF9AE}" pid="12" name="MSIP_Label_5d971c6e-6bf9-4e6f-b900-b8371d9fa23f_SiteId">
    <vt:lpwstr>1623e08b-aca1-49c6-b577-89c5bd4aa7b4</vt:lpwstr>
  </property>
  <property fmtid="{D5CDD505-2E9C-101B-9397-08002B2CF9AE}" pid="13" name="MSIP_Label_5d971c6e-6bf9-4e6f-b900-b8371d9fa23f_ActionId">
    <vt:lpwstr>ee7c8259-a427-4937-9037-ce7da3639451</vt:lpwstr>
  </property>
  <property fmtid="{D5CDD505-2E9C-101B-9397-08002B2CF9AE}" pid="14" name="MSIP_Label_5d971c6e-6bf9-4e6f-b900-b8371d9fa23f_ContentBits">
    <vt:lpwstr>0</vt:lpwstr>
  </property>
</Properties>
</file>